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5291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Положение об открытом конкурсе социально-значимых проектов «Узоры серебра» </w:t>
      </w:r>
    </w:p>
    <w:p w14:paraId="3FED6A5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Благотворительный фонд </w:t>
      </w:r>
      <w:r>
        <w:rPr>
          <w:rFonts w:ascii="Arial" w:eastAsia="Arial" w:hAnsi="Arial" w:cs="Arial"/>
          <w:color w:val="000000"/>
          <w:sz w:val="22"/>
          <w:highlight w:val="white"/>
        </w:rPr>
        <w:t xml:space="preserve">«Культура благотворительности» </w:t>
      </w:r>
      <w:r>
        <w:rPr>
          <w:rFonts w:ascii="Arial" w:eastAsia="Arial" w:hAnsi="Arial" w:cs="Arial"/>
          <w:color w:val="000000"/>
          <w:sz w:val="22"/>
        </w:rPr>
        <w:t>(далее – «Фонд</w:t>
      </w:r>
      <w:proofErr w:type="gramStart"/>
      <w:r>
        <w:rPr>
          <w:rFonts w:ascii="Arial" w:eastAsia="Arial" w:hAnsi="Arial" w:cs="Arial"/>
          <w:color w:val="000000"/>
          <w:sz w:val="22"/>
        </w:rPr>
        <w:t>»)  в</w:t>
      </w:r>
      <w:proofErr w:type="gramEnd"/>
      <w:r>
        <w:rPr>
          <w:rFonts w:ascii="Arial" w:eastAsia="Arial" w:hAnsi="Arial" w:cs="Arial"/>
          <w:color w:val="000000"/>
          <w:sz w:val="22"/>
        </w:rPr>
        <w:t xml:space="preserve"> рамках реализации Благотворительной программы «Поддержка людей старшего поколения» (далее – «Программа») проводит открытый конкурс социально-значимых проектов «Узоры серебра» (далее – «Конкурс»). </w:t>
      </w:r>
    </w:p>
    <w:p w14:paraId="1215EB3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DEC913D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Цель Конкурса</w:t>
      </w:r>
    </w:p>
    <w:p w14:paraId="278CB438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Выбрать и поддержать</w:t>
      </w:r>
      <w:r>
        <w:rPr>
          <w:rFonts w:ascii="Arial" w:eastAsia="Arial" w:hAnsi="Arial" w:cs="Arial"/>
          <w:b/>
          <w:color w:val="000000"/>
          <w:sz w:val="22"/>
        </w:rPr>
        <w:t> </w:t>
      </w:r>
      <w:r>
        <w:rPr>
          <w:rFonts w:ascii="Arial" w:eastAsia="Arial" w:hAnsi="Arial" w:cs="Arial"/>
          <w:color w:val="000000"/>
          <w:sz w:val="22"/>
        </w:rPr>
        <w:t>социально-значимые проекты некоммерческих организаций, направленные на повышение качества жизни людей старшего поколения, их социализацию и увеличение их активности в любой сфере деятельности.</w:t>
      </w:r>
    </w:p>
    <w:p w14:paraId="5BEA80EA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 </w:t>
      </w:r>
    </w:p>
    <w:p w14:paraId="4E60702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География Конкурса</w:t>
      </w:r>
    </w:p>
    <w:p w14:paraId="64BBEF5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Конкурс проводится на всей территории Российской Федерации.</w:t>
      </w:r>
      <w:r>
        <w:rPr>
          <w:rFonts w:ascii="Arial" w:eastAsia="Arial" w:hAnsi="Arial" w:cs="Arial"/>
          <w:b/>
          <w:color w:val="000000"/>
          <w:sz w:val="22"/>
        </w:rPr>
        <w:t> </w:t>
      </w:r>
    </w:p>
    <w:p w14:paraId="18D9047E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88E183C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УЧАСТНИКИ КОНКУРСА</w:t>
      </w:r>
    </w:p>
    <w:p w14:paraId="5E44940E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Arial" w:eastAsia="Arial" w:hAnsi="Arial" w:cs="Arial"/>
          <w:b/>
          <w:color w:val="000000"/>
          <w:sz w:val="22"/>
        </w:rPr>
        <w:t xml:space="preserve">К участию в Конкурсе приглашаются: </w:t>
      </w:r>
      <w:r>
        <w:rPr>
          <w:rFonts w:ascii="Arial" w:eastAsia="Arial" w:hAnsi="Arial" w:cs="Arial"/>
          <w:color w:val="000000"/>
          <w:sz w:val="22"/>
        </w:rPr>
        <w:t>некоммерческие организации, в том числе государственные и муниципальные учреждения (далее – «НКО»), зарегистрированные в соответствии с законодательством РФ и осуществляющие свою деятельность на территории Российской Федерации. </w:t>
      </w:r>
    </w:p>
    <w:p w14:paraId="07F0CA43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Для НКО-участников люди старшего поколения являются значимой целевой группой в работе организации. </w:t>
      </w:r>
    </w:p>
    <w:p w14:paraId="3B8C1267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В Конкурсе не могут принимать участие:</w:t>
      </w:r>
      <w:r>
        <w:rPr>
          <w:rFonts w:ascii="Arial" w:eastAsia="Arial" w:hAnsi="Arial" w:cs="Arial"/>
          <w:color w:val="000000"/>
          <w:sz w:val="22"/>
        </w:rPr>
        <w:t> </w:t>
      </w:r>
    </w:p>
    <w:p w14:paraId="07AADDC0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религиозные организации; политические партии и общественные объединения политической направленности; </w:t>
      </w:r>
    </w:p>
    <w:p w14:paraId="4109CA8B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органы муниципальной, представительной и исполнительной власти; </w:t>
      </w:r>
    </w:p>
    <w:p w14:paraId="2FAC0E63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органы территориального общественного самоуправления;</w:t>
      </w:r>
    </w:p>
    <w:p w14:paraId="76B0C846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казенные учреждения; </w:t>
      </w:r>
    </w:p>
    <w:p w14:paraId="77001D3D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некоммерческие организации, учредителями, членами высшего органа управления и (или) руководителем которой являются должностные лица органов государственной власти, руководящих органов политических партий и их региональных отделений, иностранные организации и их структурные подразделения; </w:t>
      </w:r>
    </w:p>
    <w:p w14:paraId="5A6E9815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организации, признанные иностранными агентами.</w:t>
      </w:r>
    </w:p>
    <w:p w14:paraId="5FCD3F4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 </w:t>
      </w:r>
    </w:p>
    <w:p w14:paraId="6000BAD0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В РАМКАХ КОНКУРСА ПОДДЕРЖИВАЮТСЯ ПРОЕКТЫ ПО СЛЕДУЮЩИМ НАПРАВЛЕНИЯМ:</w:t>
      </w:r>
    </w:p>
    <w:p w14:paraId="170BB6B9" w14:textId="77777777" w:rsidR="008271F5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Организация интересного, активного досуга для людей старшего поколения, создание благоприятной среды, которая поддерживает их самореализацию и раскрытие потенциала, помогает избежать одиночества.</w:t>
      </w:r>
    </w:p>
    <w:p w14:paraId="376DA608" w14:textId="77777777" w:rsidR="008271F5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Развитие творческой активности людей старшего поколения, поддержка хобби и творчества. </w:t>
      </w:r>
    </w:p>
    <w:p w14:paraId="04875E0C" w14:textId="77777777" w:rsidR="008271F5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Поддержка активного образа жизни, сохранение ментального и физического здоровья (формирование культуры здорового образа жизни, организация занятий физической культурой и пр.).</w:t>
      </w:r>
    </w:p>
    <w:p w14:paraId="582F9D5E" w14:textId="77777777" w:rsidR="008271F5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lastRenderedPageBreak/>
        <w:t xml:space="preserve">Повышение информированности людей старшего поколения по актуальным вопросам, (правовая, финансовая, социально-бытовая грамотность и т.д.). </w:t>
      </w:r>
    </w:p>
    <w:p w14:paraId="35B50307" w14:textId="77777777" w:rsidR="008271F5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Развитие добровольчества среди людей старшего поколения.</w:t>
      </w:r>
    </w:p>
    <w:p w14:paraId="7C420240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B5D41DF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СРОКИ ПРОВЕДЕНИЯ ОСНОВНЫХ ЭТАПОВ</w:t>
      </w:r>
      <w:r>
        <w:rPr>
          <w:rFonts w:ascii="Arial" w:eastAsia="Arial" w:hAnsi="Arial" w:cs="Arial"/>
          <w:color w:val="000000"/>
          <w:sz w:val="22"/>
        </w:rPr>
        <w:t> </w:t>
      </w:r>
      <w:r>
        <w:rPr>
          <w:rFonts w:ascii="Arial" w:eastAsia="Arial" w:hAnsi="Arial" w:cs="Arial"/>
          <w:b/>
          <w:color w:val="000000"/>
          <w:sz w:val="22"/>
        </w:rPr>
        <w:t>КОНКУРСА</w:t>
      </w:r>
      <w:r>
        <w:rPr>
          <w:rFonts w:ascii="Arial" w:eastAsia="Arial" w:hAnsi="Arial" w:cs="Arial"/>
          <w:color w:val="000000"/>
          <w:sz w:val="22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4583"/>
      </w:tblGrid>
      <w:tr w:rsidR="008271F5" w14:paraId="4983B295" w14:textId="77777777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4BBCA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Этапы проведения Конкурса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4FB91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Период </w:t>
            </w:r>
          </w:p>
        </w:tc>
      </w:tr>
      <w:tr w:rsidR="008271F5" w14:paraId="22EC5F5B" w14:textId="77777777">
        <w:trPr>
          <w:trHeight w:val="555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6CDDA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Объявление Конкурса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40839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01 октября 2024 г.</w:t>
            </w:r>
          </w:p>
        </w:tc>
      </w:tr>
      <w:tr w:rsidR="008271F5" w14:paraId="5702EADE" w14:textId="77777777">
        <w:trPr>
          <w:trHeight w:val="100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2E838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Прием заявок на Конкурс. </w:t>
            </w:r>
          </w:p>
          <w:p w14:paraId="2D639518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Консультации по написанию заявок на Конкурс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9102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01 октября – 15 ноября 2024 г.</w:t>
            </w:r>
          </w:p>
          <w:p w14:paraId="33D6EB05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271F5" w14:paraId="4F1DB192" w14:textId="77777777">
        <w:trPr>
          <w:trHeight w:val="631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92E80" w14:textId="77777777" w:rsidR="008271F5" w:rsidRDefault="00000000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Объявление результатов Конкурса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9B4E5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Не позднее 30 января 2025 г.</w:t>
            </w:r>
          </w:p>
        </w:tc>
      </w:tr>
      <w:tr w:rsidR="008271F5" w14:paraId="2D83B43C" w14:textId="77777777">
        <w:trPr>
          <w:trHeight w:val="646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21BF6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Заключение договоров с победителями Конкурса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771C0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Не позднее 15 февраля 2025 г. </w:t>
            </w:r>
          </w:p>
        </w:tc>
      </w:tr>
      <w:tr w:rsidR="008271F5" w14:paraId="3D72873B" w14:textId="77777777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62156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Реализация проектов победителей Конкурса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9BB47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Проекты от 3 до 6 месяцев, в период с 15 февраля по 15 августа 2025 г. </w:t>
            </w:r>
          </w:p>
        </w:tc>
      </w:tr>
      <w:tr w:rsidR="008271F5" w14:paraId="7F2DF6AD" w14:textId="77777777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AC6C3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Предоставление отчетов об использовании пожертвований победителей Конкурса Фонду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808FF" w14:textId="77777777" w:rsidR="008271F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2"/>
              </w:rPr>
              <w:t>Не позднее 31 августа 2025 г. </w:t>
            </w:r>
          </w:p>
        </w:tc>
      </w:tr>
    </w:tbl>
    <w:p w14:paraId="215D3519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FCAC971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УСЛОВИЯ ФИНАНСИРОВАНИЯ ПРОЕКТОВ</w:t>
      </w:r>
    </w:p>
    <w:p w14:paraId="719EA0DB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Деятельность организации по предоставляемому на Конкурс проекту должна соответствовать уставным целям и уставной деятельности организации-заявителя.</w:t>
      </w:r>
    </w:p>
    <w:p w14:paraId="6D8DE339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Деятельность по проекту должна осуществляться на территории Конкурса и соответствовать целям Конкурса.</w:t>
      </w:r>
    </w:p>
    <w:p w14:paraId="7752F0AC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От одного заявителя может быть подана одна проектная заявка. </w:t>
      </w:r>
    </w:p>
    <w:p w14:paraId="43E7F723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Максимальный размер финансирования одного проекта составит не более 500 000 рублей. По инициативе Фонда бюджет Конкурса и размер поддержки проектов может быть увеличен.</w:t>
      </w:r>
    </w:p>
    <w:p w14:paraId="3500CEE9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Длительность проекта от 3-х до 6-ти месяцев. Реализация проектов не может быть начата ранее 15 февраля 2025 г. и должна быть завершена не позднее 15 августа 2025 г.</w:t>
      </w:r>
    </w:p>
    <w:p w14:paraId="7B0E8846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Финансирование проектов организаций - победителей Конкурса осуществляется путем безвозмездной передачи денежных средств в форме целевого поступления-пожертвования на основании договоров целевых пожертвований на реализацию проекта между организациями-победителями и Фондом. </w:t>
      </w:r>
    </w:p>
    <w:p w14:paraId="778ED824" w14:textId="77777777" w:rsidR="008271F5" w:rsidRDefault="00000000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После реализации проекта победитель Конкурса обязан предоставить финансовый и содержательный отчет о реализации проекта, требования к которому указываются в договоре целевого поступления-пожертвования, заключенного с победителем Конкурса.</w:t>
      </w:r>
    </w:p>
    <w:p w14:paraId="3E06E0E1" w14:textId="77777777" w:rsidR="008271F5" w:rsidRDefault="00000000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lastRenderedPageBreak/>
        <w:t>ТРЕБОВАНИЯ К ПРОЕКТАМ</w:t>
      </w:r>
    </w:p>
    <w:p w14:paraId="28EDDEB2" w14:textId="77777777" w:rsidR="008271F5" w:rsidRDefault="00000000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 Общие требования</w:t>
      </w:r>
    </w:p>
    <w:p w14:paraId="48852D07" w14:textId="77777777" w:rsidR="008271F5" w:rsidRDefault="00000000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</w:rPr>
        <w:t xml:space="preserve">В проекте предложены мероприятия, которые предполагают непосредственную работу с целевой группой. Создание методических разработок, обучение </w:t>
      </w:r>
      <w:r>
        <w:rPr>
          <w:rFonts w:ascii="Arial" w:eastAsia="Arial" w:hAnsi="Arial" w:cs="Arial"/>
          <w:color w:val="000000"/>
          <w:sz w:val="22"/>
          <w:szCs w:val="22"/>
        </w:rPr>
        <w:t>специалистов, передача опыта и т.п. не поддерживается.</w:t>
      </w:r>
    </w:p>
    <w:p w14:paraId="381D41A1" w14:textId="77777777" w:rsidR="008271F5" w:rsidRDefault="00000000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Предложенные в проекте мероприятия и услуги для целевой аудитории востребованы и являются уникальными для территории проведения проекта (в «шаговой доступности» нет аналогичной деятельности).  </w:t>
      </w:r>
    </w:p>
    <w:p w14:paraId="556BA065" w14:textId="77777777" w:rsidR="008271F5" w:rsidRDefault="00000000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Мероприятия проекта направлены на стимулирование активности целевой группы, предусмотрена возможность делиться знаниями, результатами творчества и пр.</w:t>
      </w:r>
    </w:p>
    <w:p w14:paraId="1CF5138B" w14:textId="77777777" w:rsidR="008271F5" w:rsidRDefault="00000000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Приоритеты отдаются проектам, основная деятельность в которых направлена на пожилых людей старше 70 лет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22"/>
        </w:rPr>
        <w:t> </w:t>
      </w:r>
    </w:p>
    <w:p w14:paraId="00FB6E9A" w14:textId="77777777" w:rsidR="008271F5" w:rsidRDefault="00000000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Не поддерживаются проекты, предполагающие проведение одного мероприятия</w:t>
      </w:r>
      <w:r>
        <w:rPr>
          <w:rFonts w:ascii="Arial" w:eastAsia="Arial" w:hAnsi="Arial" w:cs="Arial"/>
          <w:color w:val="000000"/>
        </w:rPr>
        <w:t>.</w:t>
      </w:r>
    </w:p>
    <w:p w14:paraId="48CEB8C6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Ограничения по деятельности проектов</w:t>
      </w:r>
    </w:p>
    <w:p w14:paraId="3D9371ED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</w:pPr>
      <w:r>
        <w:rPr>
          <w:rFonts w:ascii="Arial" w:eastAsia="Arial" w:hAnsi="Arial" w:cs="Arial"/>
          <w:color w:val="000000"/>
          <w:sz w:val="22"/>
        </w:rPr>
        <w:t xml:space="preserve">Не могут быть поддержаны проекты, предполагающие следующие виды </w:t>
      </w:r>
      <w:r>
        <w:rPr>
          <w:rFonts w:ascii="Arial" w:eastAsia="Arial" w:hAnsi="Arial" w:cs="Arial"/>
          <w:b/>
          <w:i/>
          <w:color w:val="000000"/>
          <w:sz w:val="22"/>
        </w:rPr>
        <w:t>деятельности</w:t>
      </w:r>
      <w:r>
        <w:rPr>
          <w:rFonts w:ascii="Arial" w:eastAsia="Arial" w:hAnsi="Arial" w:cs="Arial"/>
          <w:i/>
          <w:color w:val="000000"/>
          <w:sz w:val="22"/>
        </w:rPr>
        <w:t>:</w:t>
      </w:r>
      <w:r>
        <w:rPr>
          <w:rFonts w:ascii="Arial" w:eastAsia="Arial" w:hAnsi="Arial" w:cs="Arial"/>
          <w:color w:val="000000"/>
          <w:sz w:val="22"/>
        </w:rPr>
        <w:t xml:space="preserve">  </w:t>
      </w:r>
    </w:p>
    <w:p w14:paraId="5C8668EA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деятельность по предоставлению прямой денежной помощи физическим лицам;</w:t>
      </w:r>
    </w:p>
    <w:p w14:paraId="2B73AE5A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политическая деятельность</w:t>
      </w:r>
      <w:r>
        <w:rPr>
          <w:rFonts w:ascii="Arial" w:eastAsia="Arial" w:hAnsi="Arial" w:cs="Arial"/>
          <w:color w:val="000000"/>
          <w:sz w:val="22"/>
          <w:u w:val="single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18"/>
          <w:vertAlign w:val="superscript"/>
        </w:rPr>
        <w:t>[1][1]</w:t>
      </w:r>
      <w:r>
        <w:rPr>
          <w:rFonts w:ascii="Arial" w:eastAsia="Arial" w:hAnsi="Arial" w:cs="Arial"/>
          <w:color w:val="000000"/>
          <w:sz w:val="22"/>
        </w:rPr>
        <w:t xml:space="preserve"> и деятельность, направленная на поддержку и/или участие в выборных кампаниях; </w:t>
      </w:r>
    </w:p>
    <w:p w14:paraId="0FF48844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капитальное строительство и капитальный ремонт;</w:t>
      </w:r>
    </w:p>
    <w:p w14:paraId="331C5CD0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предоставление финансирования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14:paraId="622175AC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академические исследования и разработки;</w:t>
      </w:r>
    </w:p>
    <w:p w14:paraId="38AC26B8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коммерческая, приносящая доход, деятельность; </w:t>
      </w:r>
    </w:p>
    <w:p w14:paraId="3F563583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для осуществления деятельности, не связанной с представленным на конкурс проектом;  </w:t>
      </w:r>
    </w:p>
    <w:p w14:paraId="694FC62B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для проведения международных мероприятий;  </w:t>
      </w:r>
    </w:p>
    <w:p w14:paraId="347248D2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деятельность, содержащая элементы, противоречащие действующему законодательству РФ.</w:t>
      </w:r>
    </w:p>
    <w:p w14:paraId="1F607B08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Не поддерживаются проекты, включающие следующие виды </w:t>
      </w:r>
      <w:r>
        <w:rPr>
          <w:rFonts w:ascii="Arial" w:eastAsia="Arial" w:hAnsi="Arial" w:cs="Arial"/>
          <w:b/>
          <w:i/>
          <w:color w:val="000000"/>
          <w:sz w:val="22"/>
        </w:rPr>
        <w:t>расходов</w:t>
      </w:r>
      <w:r>
        <w:rPr>
          <w:rFonts w:ascii="Arial" w:eastAsia="Arial" w:hAnsi="Arial" w:cs="Arial"/>
          <w:i/>
          <w:color w:val="000000"/>
          <w:sz w:val="22"/>
        </w:rPr>
        <w:t>:</w:t>
      </w:r>
    </w:p>
    <w:p w14:paraId="535C941B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undefined"/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покрытие расходов, осуществленных до перечисления средств на реализацию проекта; </w:t>
      </w:r>
      <w:bookmarkEnd w:id="0"/>
    </w:p>
    <w:p w14:paraId="21AAC479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покрытие текущих расходов и долгов организации;</w:t>
      </w:r>
    </w:p>
    <w:p w14:paraId="2F4028AE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расходы на приобретение гуманитарной и иной материальной помощи; </w:t>
      </w:r>
    </w:p>
    <w:p w14:paraId="4B656311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представительские расходы, в т.ч. приобретение алкоголя;</w:t>
      </w:r>
    </w:p>
    <w:p w14:paraId="0B966470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lastRenderedPageBreak/>
        <w:t xml:space="preserve">финансирование любых иных расходов, не связанных непосредственно с реализацией проекта; </w:t>
      </w:r>
    </w:p>
    <w:p w14:paraId="2397C753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расходы,  связанные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с зарубежными командировками; </w:t>
      </w:r>
    </w:p>
    <w:p w14:paraId="10C67C31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расходы, связанные с избирательными кампаниями;  </w:t>
      </w:r>
    </w:p>
    <w:p w14:paraId="299730C1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расходы на издательскую деятельность (без иной деятельности);</w:t>
      </w:r>
    </w:p>
    <w:p w14:paraId="2836247F" w14:textId="77777777" w:rsidR="008271F5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расходы на ремонт помещения (кроме работ, необходимых для выполнения основной деятельности по проекту); </w:t>
      </w:r>
    </w:p>
    <w:p w14:paraId="4022E17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УСЛОВИЯ ПРИЕМА ЗАЯВОК</w:t>
      </w:r>
    </w:p>
    <w:p w14:paraId="152FACEE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Заявки, подаваемые на Конкурс, должны быть оформлены в соответствии с требованиями настоящего Положения. </w:t>
      </w:r>
    </w:p>
    <w:p w14:paraId="6109EA1F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Заявки, не отвечающие установленным требованиям и/или не содержащие всех необходимых приложений, не будут допущены к участию в Конкурсе. </w:t>
      </w:r>
    </w:p>
    <w:p w14:paraId="546781ED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Представленные на Конкурс заявки не рецензируются и не возвращаются.</w:t>
      </w:r>
    </w:p>
    <w:p w14:paraId="21F032B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6D5A917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Заявки должны подаваться на Конкурс в следующей комплектации:</w:t>
      </w:r>
    </w:p>
    <w:p w14:paraId="1DC48357" w14:textId="77777777" w:rsidR="008271F5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Описание проекта (вместе с бюджетом) в электронном виде по образцу, установленному Фондом (Приложение 1). Заявители должны заполнить все разделы формы заявки на русском языке.  </w:t>
      </w:r>
    </w:p>
    <w:p w14:paraId="16EF6BFC" w14:textId="77777777" w:rsidR="008271F5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Комплект копий документов в электронном - сканированном виде (в формате PDF или JPG):</w:t>
      </w:r>
    </w:p>
    <w:p w14:paraId="7A0E720B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Копия Устава организации (в одном файле) в формате. </w:t>
      </w:r>
    </w:p>
    <w:p w14:paraId="173A057D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Копия выписки из ЕГРЮЛ, полученной не ранее, чем за 2 (два) месяца до дня подачи документов на Конкурс (можно с официального сайта ФНС России).</w:t>
      </w:r>
    </w:p>
    <w:p w14:paraId="27F138B2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Копия документа, подтверждающего полномочия лица, которое будет подписывать договор (протокол об избрании, доверенность).</w:t>
      </w:r>
    </w:p>
    <w:p w14:paraId="6C18C58D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Копия письма из банка об открытии счета организации с указанием полных реквизитов для проведения платежей.</w:t>
      </w:r>
    </w:p>
    <w:p w14:paraId="0D5F979B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Копия отчета, подаваемого в Минюст России за предшествующий год с отметкой о вручении (отправлении почтой) либо, в случаях, предусмотренных законом, письмо о продолжении деятельности организации. Если направлялся отчет в электронном виде, то необходимо отразить этот момент в письме руководителя с указанием ссылки на сайт Минюста.</w:t>
      </w:r>
    </w:p>
    <w:p w14:paraId="2747BFA5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Копия справки налогового органа об отсутствии или наличии в размере не более одной тысячи рублей у организации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 бюджет, региональный бюджет, местный бюджет (в том числе допускаются к рассмотрению справки, сформированные налоговым органом в электронном виде). </w:t>
      </w:r>
    </w:p>
    <w:p w14:paraId="068FE879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Муниципальные бюджетные организации предоставляют информацию о банковских реквизитах в виде копии справки, которая должна быть заверена профильным финансовым ведомством (например, департаментом финансов и казначейского исполнения бюджета Администрации города).</w:t>
      </w:r>
    </w:p>
    <w:p w14:paraId="59D62107" w14:textId="77777777" w:rsidR="008271F5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86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 xml:space="preserve">Копия письма руководителя организации, подтверждающего актуальность и достоверность присланных документов, (письмо составляется по образцу, </w:t>
      </w:r>
      <w:r>
        <w:rPr>
          <w:rFonts w:ascii="Arial" w:eastAsia="Arial" w:hAnsi="Arial" w:cs="Arial"/>
          <w:color w:val="000000"/>
          <w:sz w:val="22"/>
        </w:rPr>
        <w:lastRenderedPageBreak/>
        <w:t>установленным Фондом, Приложение 2). Победители Конкурса, в случае заключения с ними договора целевого поступления – пожертвования, предоставляют данное письмо в оригинале.</w:t>
      </w:r>
    </w:p>
    <w:p w14:paraId="06BDF6C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Arial" w:eastAsia="Arial" w:hAnsi="Arial" w:cs="Arial"/>
          <w:color w:val="000000"/>
          <w:sz w:val="22"/>
        </w:rPr>
        <w:t>Фонд оставляет за собой право запросить у организаций дополнительные документы в случае необходимости.</w:t>
      </w:r>
    </w:p>
    <w:p w14:paraId="40B176C7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3269080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 xml:space="preserve">Процедура подачи заявки </w:t>
      </w:r>
    </w:p>
    <w:p w14:paraId="29826108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Заявки (описание проекта, включая бюджет и комплект копий документов) должны быть отправлены в Фонд до 18.00 московского времени 15 ноября 2024 г.  </w:t>
      </w:r>
    </w:p>
    <w:p w14:paraId="09D1445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i/>
          <w:color w:val="000000"/>
          <w:sz w:val="22"/>
          <w:u w:val="single"/>
        </w:rPr>
        <w:t>Внимание!</w:t>
      </w:r>
      <w:r>
        <w:rPr>
          <w:rFonts w:ascii="Arial" w:eastAsia="Arial" w:hAnsi="Arial" w:cs="Arial"/>
          <w:color w:val="000000"/>
          <w:sz w:val="22"/>
          <w:u w:val="single"/>
        </w:rPr>
        <w:t> </w:t>
      </w:r>
      <w:r>
        <w:rPr>
          <w:rFonts w:ascii="Arial" w:eastAsia="Arial" w:hAnsi="Arial" w:cs="Arial"/>
          <w:color w:val="000000"/>
          <w:sz w:val="22"/>
        </w:rPr>
        <w:t>Заявки, поступившие после указанного времени,</w:t>
      </w:r>
      <w:r>
        <w:rPr>
          <w:rFonts w:ascii="Arial" w:eastAsia="Arial" w:hAnsi="Arial" w:cs="Arial"/>
          <w:b/>
          <w:color w:val="000000"/>
          <w:sz w:val="22"/>
        </w:rPr>
        <w:t> </w:t>
      </w:r>
      <w:r>
        <w:rPr>
          <w:rFonts w:ascii="Arial" w:eastAsia="Arial" w:hAnsi="Arial" w:cs="Arial"/>
          <w:color w:val="000000"/>
          <w:sz w:val="22"/>
        </w:rPr>
        <w:t>не будут зарегистрированы и допущены к участию в Конкурсе.</w:t>
      </w:r>
    </w:p>
    <w:p w14:paraId="3C37FF5F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B4CAEB6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Заявки направляются по адресу </w:t>
      </w:r>
      <w:r>
        <w:rPr>
          <w:rFonts w:ascii="Arial" w:eastAsia="Arial" w:hAnsi="Arial" w:cs="Arial"/>
          <w:color w:val="0000FF"/>
          <w:sz w:val="22"/>
          <w:u w:val="single"/>
        </w:rPr>
        <w:t>uzory@givingculture.ru</w:t>
      </w:r>
      <w:r>
        <w:rPr>
          <w:rFonts w:ascii="Arial" w:eastAsia="Arial" w:hAnsi="Arial" w:cs="Arial"/>
          <w:color w:val="000000"/>
          <w:sz w:val="22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</w:rPr>
        <w:t>В теме письма должно быть указано «Заявка на конкурс «Узоры серебра».</w:t>
      </w:r>
    </w:p>
    <w:p w14:paraId="57D755B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br/>
      </w:r>
      <w:r>
        <w:rPr>
          <w:rFonts w:ascii="Arial" w:eastAsia="Arial" w:hAnsi="Arial" w:cs="Arial"/>
          <w:color w:val="000000"/>
          <w:sz w:val="22"/>
        </w:rPr>
        <w:t> </w:t>
      </w:r>
      <w:r>
        <w:rPr>
          <w:rFonts w:ascii="Arial" w:eastAsia="Arial" w:hAnsi="Arial" w:cs="Arial"/>
          <w:b/>
          <w:color w:val="000000"/>
          <w:sz w:val="22"/>
        </w:rPr>
        <w:t> ПРОЦЕДУРА РАССМОТРЕНИЯ ЗАЯВОК</w:t>
      </w:r>
    </w:p>
    <w:p w14:paraId="7B00CA0F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Первичный отбор заявок, поступивших на Конкурс (техническая экспертиза), осуществляется сотрудниками Фонда. Поступившие заявки проверяются на предмет соответствия целям и условиям Конкурса, наличия необходимых документов, а также юридического статуса заявителя.</w:t>
      </w:r>
    </w:p>
    <w:p w14:paraId="6854AD90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Поступившие на Конкурс и прошедшие техническую экспертизу заявки рассматриваются экспертным советом Конкурса, в состав которого могут войти: эксперты, чья профессиональная деятельность имеет отношение к проблематике старшего поколения; представители Фонда. 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39360EE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Экспертный совет строит свою деятельность на принципах демократичности, коллегиальности и открытости и действует на основе Положения об Экспертном совете, утверждаемом Фондом.</w:t>
      </w:r>
    </w:p>
    <w:p w14:paraId="17FA485B" w14:textId="77777777" w:rsidR="008271F5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Экспертный совет рассматривает поступившие заявки в соответствии со следующими критериями оценки: </w:t>
      </w:r>
    </w:p>
    <w:p w14:paraId="77B67FE1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актуальность проблемы, на решение которой направлен проект;</w:t>
      </w:r>
    </w:p>
    <w:p w14:paraId="2F54DD1D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соответствие возможностей организации запланированной деятельности по проекту; </w:t>
      </w:r>
    </w:p>
    <w:p w14:paraId="65B37D78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конкретность и значимость результатов проекта для целевой группы;</w:t>
      </w:r>
    </w:p>
    <w:p w14:paraId="31E15FED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специалисты организации обладают навыками работы с людьми старшего поколения;</w:t>
      </w:r>
    </w:p>
    <w:p w14:paraId="2E29E030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 соответствие планируемых мероприятий целям и задачам проекта, реалистичность сроков; </w:t>
      </w:r>
    </w:p>
    <w:p w14:paraId="178A6A28" w14:textId="77777777" w:rsidR="008271F5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0" w:lineRule="atLeast"/>
        <w:jc w:val="both"/>
      </w:pPr>
      <w:r>
        <w:rPr>
          <w:rFonts w:ascii="Arial" w:eastAsia="Arial" w:hAnsi="Arial" w:cs="Arial"/>
          <w:color w:val="000000"/>
          <w:sz w:val="22"/>
        </w:rPr>
        <w:t>реалистичность бюджета (реалистичность и обоснованность затрат по проекту); </w:t>
      </w:r>
    </w:p>
    <w:p w14:paraId="34173668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 xml:space="preserve">Экспертный совет имеет право предложить организациям-заявителям внести изменения в бюджет проекта, сроки его реализации и в другие условия. В случае, если организация-заявитель отказывается от доработки проекта в соответствии с рекомендациями экспертного совета, такой проект может быть исключен из числа победителей конкурса и не будет поддержан. </w:t>
      </w:r>
    </w:p>
    <w:p w14:paraId="798EFE4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DBD18F1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СРОК И ПОРЯДОК ОБЪЯВЛЕНИЯ РЕЗУЛЬТАТОВ КОНКУРСА</w:t>
      </w:r>
    </w:p>
    <w:p w14:paraId="5A72D634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lastRenderedPageBreak/>
        <w:t>Победители Конкурса будут уведомлены по электронной почте о принятом решении о финансировании не позднее 5 (пяти) рабочих дней, начиная со дня объявления результатов Конкурса.</w:t>
      </w:r>
    </w:p>
    <w:p w14:paraId="02905E17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776399F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>ПОРЯДОК ЗАКЛЮЧЕНИЯ ДОГОВОРОВ О ПРЕДОСТАВЛЕНИИ ФИНАНСИРОВАНИЯ</w:t>
      </w:r>
    </w:p>
    <w:p w14:paraId="0D8D7B7C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Заключение договоров на финансирование проектов-победителей происходит после доработки проектов в соответствии с рекомендациями экспертного совета при их наличии.</w:t>
      </w:r>
    </w:p>
    <w:p w14:paraId="07C6EBB0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Все заявки победителей Конкурса проходят юридическую экспертизу Фонда с целью проверки правоспособности контрагентов и выявлении рисков при заключении договора. В случае, если заявитель не может предоставить полный пакет документов, необходимый в соответствии с настоящим Положением, то договор с ним не заключается.</w:t>
      </w:r>
    </w:p>
    <w:p w14:paraId="754C75C8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В течение 2-х недель после объявления результатов Конкурса с выбранными организациями, успешно прошедшими юридическую экспертизу Фонда, будут заключены договоры целевого поступления-пожертвования, на основании которых будут переведены денежные средства. </w:t>
      </w:r>
    </w:p>
    <w:p w14:paraId="114F785D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Порядок, сроки и формы отчетности (содержательной и финансовой) по итогам реализации проектов будут определены в договорах целевого поступления-пожертвования, заключенных с победителями Конкурса.</w:t>
      </w:r>
    </w:p>
    <w:p w14:paraId="30C9414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3D940A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ПОРЯДОК ИЗМЕНЕНИЯ УСЛОВИЙ ИЛИ ОТМЕНЫ КОНКУРСА</w:t>
      </w:r>
    </w:p>
    <w:p w14:paraId="3092A2BC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В случае необходимости внести изменения в Положение о Конкурсе, такие изменения могут быть внесены в первую половину срока приема заявок на Конкурс. </w:t>
      </w:r>
    </w:p>
    <w:p w14:paraId="0479CC22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Отмена Конкурса по причине действия непреодолимой силы и/или прекращения финансирования может произойти на любом этапе проведения Конкурса. Отмена Конкурса по иным причинам может произойти только на этапе приема и регистрации заявок.</w:t>
      </w:r>
    </w:p>
    <w:p w14:paraId="4F98F2EB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Конкурс признается несостоявшимся, если зарегистрировано менее трех заявок, отвечающим всем требованиям Положения о Конкурсе. </w:t>
      </w:r>
    </w:p>
    <w:p w14:paraId="39ABEE8C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3EB4E26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b/>
          <w:color w:val="000000"/>
          <w:sz w:val="22"/>
        </w:rPr>
        <w:t xml:space="preserve">ИСПОЛЬЗОВАНИЕ ИНФОРМАЦИИ </w:t>
      </w:r>
    </w:p>
    <w:p w14:paraId="4521C0C0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  <w:sz w:val="22"/>
        </w:rPr>
        <w:t>Фонд оставляет за собой право использовать информацию, полученную в рамках Конкурса, с целью накопления и передачи опыта, в исследовательских и статистических целях, в публикациях.</w:t>
      </w:r>
    </w:p>
    <w:p w14:paraId="3AEC6163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960F26D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" w:eastAsia="Arial" w:hAnsi="Arial" w:cs="Arial"/>
          <w:b/>
          <w:color w:val="000000"/>
          <w:sz w:val="22"/>
        </w:rPr>
        <w:t>КОНСУЛЬТАЦИИ МОЖНО ПОЛУЧИТЬ ПО</w:t>
      </w:r>
      <w:r>
        <w:rPr>
          <w:rFonts w:ascii="Arial" w:eastAsia="Arial" w:hAnsi="Arial" w:cs="Arial"/>
          <w:color w:val="000000"/>
          <w:sz w:val="22"/>
        </w:rPr>
        <w:t xml:space="preserve"> эл. почте </w:t>
      </w:r>
      <w:r>
        <w:rPr>
          <w:rFonts w:ascii="Arial" w:eastAsia="Arial" w:hAnsi="Arial" w:cs="Arial"/>
          <w:color w:val="0000FF"/>
          <w:sz w:val="22"/>
          <w:u w:val="single"/>
        </w:rPr>
        <w:t>uzory@givingculture.ru</w:t>
      </w:r>
      <w:r>
        <w:rPr>
          <w:rFonts w:ascii="Arial" w:eastAsia="Arial" w:hAnsi="Arial" w:cs="Arial"/>
          <w:color w:val="000000"/>
          <w:sz w:val="22"/>
        </w:rPr>
        <w:t>   или по телефону +7(495) 927-10-08</w:t>
      </w:r>
    </w:p>
    <w:p w14:paraId="374102CF" w14:textId="77777777" w:rsidR="008271F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14:paraId="5415966A" w14:textId="77777777" w:rsidR="008271F5" w:rsidRDefault="008271F5"/>
    <w:sectPr w:rsidR="008271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31F6" w14:textId="77777777" w:rsidR="00132D6B" w:rsidRDefault="00132D6B">
      <w:pPr>
        <w:spacing w:after="0" w:line="240" w:lineRule="auto"/>
      </w:pPr>
      <w:r>
        <w:separator/>
      </w:r>
    </w:p>
  </w:endnote>
  <w:endnote w:type="continuationSeparator" w:id="0">
    <w:p w14:paraId="052926F3" w14:textId="77777777" w:rsidR="00132D6B" w:rsidRDefault="0013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2C1C" w14:textId="77777777" w:rsidR="00132D6B" w:rsidRDefault="00132D6B">
      <w:pPr>
        <w:spacing w:after="0" w:line="240" w:lineRule="auto"/>
      </w:pPr>
      <w:r>
        <w:separator/>
      </w:r>
    </w:p>
  </w:footnote>
  <w:footnote w:type="continuationSeparator" w:id="0">
    <w:p w14:paraId="713D0766" w14:textId="77777777" w:rsidR="00132D6B" w:rsidRDefault="00132D6B">
      <w:pPr>
        <w:spacing w:after="0" w:line="240" w:lineRule="auto"/>
      </w:pPr>
      <w:r>
        <w:continuationSeparator/>
      </w:r>
    </w:p>
  </w:footnote>
  <w:footnote w:id="1">
    <w:p w14:paraId="6CB06DF7" w14:textId="77777777" w:rsidR="008271F5" w:rsidRDefault="00000000">
      <w:pPr>
        <w:pStyle w:val="af0"/>
      </w:pPr>
      <w:r>
        <w:rPr>
          <w:rStyle w:val="af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[1]</w:t>
      </w:r>
      <w:r>
        <w:rPr>
          <w:rFonts w:ascii="Arial" w:eastAsia="Arial" w:hAnsi="Arial" w:cs="Arial"/>
          <w:color w:val="000000"/>
          <w:sz w:val="20"/>
        </w:rPr>
        <w:t>[1] Под политической деятельностью понимается деятельность, описанная в п. 2 ст. 4 Федерального закона от 14.07.2022 г. N 255-ФЗ "О контроле за деятельностью лиц, находящихся под иностранным влиянием”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2D47"/>
    <w:multiLevelType w:val="hybridMultilevel"/>
    <w:tmpl w:val="9564BE36"/>
    <w:lvl w:ilvl="0" w:tplc="B00E9F9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29A8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2AB2D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2242F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8C4391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0C94C41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0C476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E8F81B3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6F8E0C8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2C842CB"/>
    <w:multiLevelType w:val="hybridMultilevel"/>
    <w:tmpl w:val="4E14A770"/>
    <w:lvl w:ilvl="0" w:tplc="EBEE9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64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90E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FC60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45C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B80B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5C3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4C0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E80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FFD"/>
    <w:multiLevelType w:val="hybridMultilevel"/>
    <w:tmpl w:val="DBE470DE"/>
    <w:lvl w:ilvl="0" w:tplc="78248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A65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9EC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368D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12B5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E5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A69E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705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5EE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953D6"/>
    <w:multiLevelType w:val="hybridMultilevel"/>
    <w:tmpl w:val="F79849DE"/>
    <w:lvl w:ilvl="0" w:tplc="4FF62796">
      <w:start w:val="1"/>
      <w:numFmt w:val="decimal"/>
      <w:lvlText w:val="%1."/>
      <w:lvlJc w:val="left"/>
      <w:pPr>
        <w:ind w:left="720" w:hanging="360"/>
      </w:pPr>
    </w:lvl>
    <w:lvl w:ilvl="1" w:tplc="1F6CFDCE">
      <w:start w:val="1"/>
      <w:numFmt w:val="lowerLetter"/>
      <w:lvlText w:val="%2."/>
      <w:lvlJc w:val="left"/>
      <w:pPr>
        <w:ind w:left="1440" w:hanging="360"/>
      </w:pPr>
    </w:lvl>
    <w:lvl w:ilvl="2" w:tplc="78969C36">
      <w:start w:val="1"/>
      <w:numFmt w:val="lowerRoman"/>
      <w:lvlText w:val="%3."/>
      <w:lvlJc w:val="right"/>
      <w:pPr>
        <w:ind w:left="2160" w:hanging="180"/>
      </w:pPr>
    </w:lvl>
    <w:lvl w:ilvl="3" w:tplc="4CB2B208">
      <w:start w:val="1"/>
      <w:numFmt w:val="decimal"/>
      <w:lvlText w:val="%4."/>
      <w:lvlJc w:val="left"/>
      <w:pPr>
        <w:ind w:left="2880" w:hanging="360"/>
      </w:pPr>
    </w:lvl>
    <w:lvl w:ilvl="4" w:tplc="8904DF7E">
      <w:start w:val="1"/>
      <w:numFmt w:val="lowerLetter"/>
      <w:lvlText w:val="%5."/>
      <w:lvlJc w:val="left"/>
      <w:pPr>
        <w:ind w:left="3600" w:hanging="360"/>
      </w:pPr>
    </w:lvl>
    <w:lvl w:ilvl="5" w:tplc="85B876F0">
      <w:start w:val="1"/>
      <w:numFmt w:val="lowerRoman"/>
      <w:lvlText w:val="%6."/>
      <w:lvlJc w:val="right"/>
      <w:pPr>
        <w:ind w:left="4320" w:hanging="180"/>
      </w:pPr>
    </w:lvl>
    <w:lvl w:ilvl="6" w:tplc="661EECFC">
      <w:start w:val="1"/>
      <w:numFmt w:val="decimal"/>
      <w:lvlText w:val="%7."/>
      <w:lvlJc w:val="left"/>
      <w:pPr>
        <w:ind w:left="5040" w:hanging="360"/>
      </w:pPr>
    </w:lvl>
    <w:lvl w:ilvl="7" w:tplc="1EE246AA">
      <w:start w:val="1"/>
      <w:numFmt w:val="lowerLetter"/>
      <w:lvlText w:val="%8."/>
      <w:lvlJc w:val="left"/>
      <w:pPr>
        <w:ind w:left="5760" w:hanging="360"/>
      </w:pPr>
    </w:lvl>
    <w:lvl w:ilvl="8" w:tplc="4CB8C4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12ED"/>
    <w:multiLevelType w:val="hybridMultilevel"/>
    <w:tmpl w:val="6A7466DE"/>
    <w:lvl w:ilvl="0" w:tplc="CAD83E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BEE6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36D68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C758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581EE7D8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CB26FA9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58266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C0FC219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56F424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FE64371"/>
    <w:multiLevelType w:val="hybridMultilevel"/>
    <w:tmpl w:val="F90A7B4C"/>
    <w:lvl w:ilvl="0" w:tplc="A208AD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1FE9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AC46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68250E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70E82FC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8942AE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1EDC0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581A70E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5F1C446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BCD5EA2"/>
    <w:multiLevelType w:val="hybridMultilevel"/>
    <w:tmpl w:val="80BE9940"/>
    <w:lvl w:ilvl="0" w:tplc="AE14D3F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EC2A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6C2D7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60B614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B5C853EA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94388E0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DAC9B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CB342E1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B784DF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356FA5"/>
    <w:multiLevelType w:val="hybridMultilevel"/>
    <w:tmpl w:val="CD803702"/>
    <w:lvl w:ilvl="0" w:tplc="B836997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B44E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85F0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6F83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4DFAE31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596140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0090F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7A6A37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ED881F7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07227A6"/>
    <w:multiLevelType w:val="hybridMultilevel"/>
    <w:tmpl w:val="7CE28728"/>
    <w:lvl w:ilvl="0" w:tplc="A41A14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FA29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DC5C2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4CA4B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5F26CEC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DC2ACF4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66E6D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45EA824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2EA83C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7C5028"/>
    <w:multiLevelType w:val="hybridMultilevel"/>
    <w:tmpl w:val="A5E4ADA0"/>
    <w:lvl w:ilvl="0" w:tplc="6804FEFE">
      <w:start w:val="1"/>
      <w:numFmt w:val="decimal"/>
      <w:lvlText w:val="%1."/>
      <w:lvlJc w:val="left"/>
      <w:pPr>
        <w:ind w:left="720" w:hanging="360"/>
      </w:pPr>
    </w:lvl>
    <w:lvl w:ilvl="1" w:tplc="154A3928">
      <w:start w:val="1"/>
      <w:numFmt w:val="lowerLetter"/>
      <w:lvlText w:val="%2."/>
      <w:lvlJc w:val="left"/>
      <w:pPr>
        <w:ind w:left="1440" w:hanging="360"/>
      </w:pPr>
    </w:lvl>
    <w:lvl w:ilvl="2" w:tplc="17FC6B24">
      <w:start w:val="1"/>
      <w:numFmt w:val="lowerRoman"/>
      <w:lvlText w:val="%3."/>
      <w:lvlJc w:val="right"/>
      <w:pPr>
        <w:ind w:left="2160" w:hanging="180"/>
      </w:pPr>
    </w:lvl>
    <w:lvl w:ilvl="3" w:tplc="AC2A64C2">
      <w:start w:val="1"/>
      <w:numFmt w:val="decimal"/>
      <w:lvlText w:val="%4."/>
      <w:lvlJc w:val="left"/>
      <w:pPr>
        <w:ind w:left="2880" w:hanging="360"/>
      </w:pPr>
    </w:lvl>
    <w:lvl w:ilvl="4" w:tplc="E8D0FE08">
      <w:start w:val="1"/>
      <w:numFmt w:val="lowerLetter"/>
      <w:lvlText w:val="%5."/>
      <w:lvlJc w:val="left"/>
      <w:pPr>
        <w:ind w:left="3600" w:hanging="360"/>
      </w:pPr>
    </w:lvl>
    <w:lvl w:ilvl="5" w:tplc="3B360482">
      <w:start w:val="1"/>
      <w:numFmt w:val="lowerRoman"/>
      <w:lvlText w:val="%6."/>
      <w:lvlJc w:val="right"/>
      <w:pPr>
        <w:ind w:left="4320" w:hanging="180"/>
      </w:pPr>
    </w:lvl>
    <w:lvl w:ilvl="6" w:tplc="3B4ADE56">
      <w:start w:val="1"/>
      <w:numFmt w:val="decimal"/>
      <w:lvlText w:val="%7."/>
      <w:lvlJc w:val="left"/>
      <w:pPr>
        <w:ind w:left="5040" w:hanging="360"/>
      </w:pPr>
    </w:lvl>
    <w:lvl w:ilvl="7" w:tplc="1ACEBC28">
      <w:start w:val="1"/>
      <w:numFmt w:val="lowerLetter"/>
      <w:lvlText w:val="%8."/>
      <w:lvlJc w:val="left"/>
      <w:pPr>
        <w:ind w:left="5760" w:hanging="360"/>
      </w:pPr>
    </w:lvl>
    <w:lvl w:ilvl="8" w:tplc="023032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5068"/>
    <w:multiLevelType w:val="hybridMultilevel"/>
    <w:tmpl w:val="CB727BF0"/>
    <w:lvl w:ilvl="0" w:tplc="29E47ED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52D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4EAC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72DDC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0346DAB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D86AE71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AB3C4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D86E9DB2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2F0427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65801759">
    <w:abstractNumId w:val="0"/>
  </w:num>
  <w:num w:numId="2" w16cid:durableId="97912036">
    <w:abstractNumId w:val="4"/>
  </w:num>
  <w:num w:numId="3" w16cid:durableId="1755472452">
    <w:abstractNumId w:val="9"/>
  </w:num>
  <w:num w:numId="4" w16cid:durableId="872813653">
    <w:abstractNumId w:val="10"/>
  </w:num>
  <w:num w:numId="5" w16cid:durableId="1176572487">
    <w:abstractNumId w:val="7"/>
  </w:num>
  <w:num w:numId="6" w16cid:durableId="1432818991">
    <w:abstractNumId w:val="8"/>
  </w:num>
  <w:num w:numId="7" w16cid:durableId="969021559">
    <w:abstractNumId w:val="3"/>
  </w:num>
  <w:num w:numId="8" w16cid:durableId="322319797">
    <w:abstractNumId w:val="6"/>
  </w:num>
  <w:num w:numId="9" w16cid:durableId="206262709">
    <w:abstractNumId w:val="5"/>
  </w:num>
  <w:num w:numId="10" w16cid:durableId="876702471">
    <w:abstractNumId w:val="1"/>
  </w:num>
  <w:num w:numId="11" w16cid:durableId="26800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F5"/>
    <w:rsid w:val="00132D6B"/>
    <w:rsid w:val="00282ED6"/>
    <w:rsid w:val="008271F5"/>
    <w:rsid w:val="00A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D36"/>
  <w15:docId w15:val="{58F0B362-0468-4CF9-8C3E-F58BAB4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Mukhina</dc:creator>
  <cp:lastModifiedBy>Marina Mukhina</cp:lastModifiedBy>
  <cp:revision>2</cp:revision>
  <dcterms:created xsi:type="dcterms:W3CDTF">2024-10-01T07:17:00Z</dcterms:created>
  <dcterms:modified xsi:type="dcterms:W3CDTF">2024-10-01T07:17:00Z</dcterms:modified>
</cp:coreProperties>
</file>