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Положение об открытом конкурсе социально-значимых проектов «Узоры серебра» 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Благотворительный фонд </w:t>
      </w:r>
      <w:r>
        <w:rPr>
          <w:rFonts w:ascii="Arial" w:hAnsi="Arial" w:eastAsia="Arial" w:cs="Arial"/>
          <w:color w:val="000000"/>
          <w:sz w:val="22"/>
          <w:highlight w:val="white"/>
        </w:rPr>
        <w:t xml:space="preserve">«Культура благотворительности» </w:t>
      </w:r>
      <w:r>
        <w:rPr>
          <w:rFonts w:ascii="Arial" w:hAnsi="Arial" w:eastAsia="Arial" w:cs="Arial"/>
          <w:color w:val="000000"/>
          <w:sz w:val="22"/>
        </w:rPr>
        <w:t xml:space="preserve">(далее – «Фонд»)  в рамках реализации Благотворительной программы «Поддержка людей старшего поколения» (далее – «Программа») проводит открытый конкурс социально-значимых проектов «Узоры серебра</w:t>
      </w:r>
      <w:r>
        <w:rPr>
          <w:rFonts w:ascii="Arial" w:hAnsi="Arial" w:eastAsia="Arial" w:cs="Arial"/>
          <w:color w:val="000000"/>
          <w:sz w:val="22"/>
        </w:rPr>
        <w:t xml:space="preserve">» (далее – «Конкурс»). 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Цель Конкурса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Выбрать и поддержать</w:t>
      </w:r>
      <w:r>
        <w:rPr>
          <w:rFonts w:ascii="Arial" w:hAnsi="Arial" w:eastAsia="Arial" w:cs="Arial"/>
          <w:b/>
          <w:color w:val="000000"/>
          <w:sz w:val="22"/>
        </w:rPr>
        <w:t xml:space="preserve"> </w:t>
      </w:r>
      <w:r>
        <w:rPr>
          <w:rFonts w:ascii="Arial" w:hAnsi="Arial" w:eastAsia="Arial" w:cs="Arial"/>
          <w:color w:val="000000"/>
          <w:sz w:val="22"/>
        </w:rPr>
        <w:t xml:space="preserve">социально-значимые проекты некоммерческих организаций, направленные на повышение качества жизни людей старшего поколения, их социализацию и увеличение их активности в любой сфере деятельности.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 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География Конкурса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Конкурс проводится на всей территории Российской Федерации.</w:t>
      </w:r>
      <w:r>
        <w:rPr>
          <w:rFonts w:ascii="Arial" w:hAnsi="Arial" w:eastAsia="Arial" w:cs="Arial"/>
          <w:b/>
          <w:color w:val="000000"/>
          <w:sz w:val="22"/>
        </w:rPr>
        <w:t xml:space="preserve"> 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УЧАСТНИКИ КОНКУРСА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К участию в Конкурсе приглашаются: </w:t>
      </w:r>
      <w:r>
        <w:rPr>
          <w:rFonts w:ascii="Arial" w:hAnsi="Arial" w:eastAsia="Arial" w:cs="Arial"/>
          <w:color w:val="000000"/>
          <w:sz w:val="22"/>
        </w:rPr>
        <w:t xml:space="preserve">некоммерческие организации, в том числе государственные и муниципальные учреждения (далее по тексту – «НКО»), зарегистрированные в соответствии с законодательством РФ и осуществляющие свою деятельность на территории Российской Федерации. </w:t>
      </w:r>
      <w:r/>
    </w:p>
    <w:p>
      <w:pPr>
        <w:ind w:left="0" w:right="0" w:firstLine="0"/>
        <w:jc w:val="both"/>
        <w:spacing w:before="1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Для НКО-участников люди старшего поколения являются значимой целевой группой в работе организации. 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В Конкурсе не могут принимать участие:</w:t>
      </w:r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p>
      <w:pPr>
        <w:numPr>
          <w:ilvl w:val="0"/>
          <w:numId w:val="1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религиозные организации; политические партии и общественные объединения политической направленности; </w:t>
      </w:r>
      <w:r/>
    </w:p>
    <w:p>
      <w:pPr>
        <w:numPr>
          <w:ilvl w:val="0"/>
          <w:numId w:val="1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органы муниципальной, представительной и исполнительной власти; </w:t>
      </w:r>
      <w:r/>
    </w:p>
    <w:p>
      <w:pPr>
        <w:numPr>
          <w:ilvl w:val="0"/>
          <w:numId w:val="1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органы территориального общественного самоуправления;</w:t>
      </w:r>
      <w:r/>
    </w:p>
    <w:p>
      <w:pPr>
        <w:numPr>
          <w:ilvl w:val="0"/>
          <w:numId w:val="1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казенные учреждения; </w:t>
      </w:r>
      <w:r/>
    </w:p>
    <w:p>
      <w:pPr>
        <w:numPr>
          <w:ilvl w:val="0"/>
          <w:numId w:val="1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некоммерческие организации, учредителями, членами высшего органа управления и (или) руководителем которой являются должностные лица органов государственной власти, руководящих органов политических партий и их региональных отделений, иностранные организации</w:t>
      </w:r>
      <w:r>
        <w:rPr>
          <w:rFonts w:ascii="Arial" w:hAnsi="Arial" w:eastAsia="Arial" w:cs="Arial"/>
          <w:color w:val="000000"/>
          <w:sz w:val="22"/>
        </w:rPr>
        <w:t xml:space="preserve"> и их структурные подразделения; </w:t>
      </w:r>
      <w:r/>
    </w:p>
    <w:p>
      <w:pPr>
        <w:numPr>
          <w:ilvl w:val="0"/>
          <w:numId w:val="1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организации, признанные иностранными агентами.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 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В РАМКАХ КОНКУРСА ПОДДЕРЖИВАЮТСЯ ПРОЕКТЫ ПО СЛЕДУЮЩИМ НАПРАВЛЕНИЯМ:</w:t>
      </w:r>
      <w:r/>
    </w:p>
    <w:p>
      <w:pPr>
        <w:numPr>
          <w:ilvl w:val="0"/>
          <w:numId w:val="2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Организация интересного, активного досуга для людей старшего поколения, создание благоприятной среды, которая поддерживает их самореализацию и раскрытие потенциала, помогает избежать одиночества.</w:t>
      </w:r>
      <w:r/>
    </w:p>
    <w:p>
      <w:pPr>
        <w:numPr>
          <w:ilvl w:val="0"/>
          <w:numId w:val="2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Развитие творческой активности людей старшего поколения, поддержка хобби и творчества. </w:t>
      </w:r>
      <w:r/>
    </w:p>
    <w:p>
      <w:pPr>
        <w:numPr>
          <w:ilvl w:val="0"/>
          <w:numId w:val="2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Поддержка активного образа жизни, сохранение ментального и физического здоровья (формирование культуры здорового образа жизни, организация занятий физической культурой и пр.).</w:t>
      </w:r>
      <w:r/>
    </w:p>
    <w:p>
      <w:pPr>
        <w:numPr>
          <w:ilvl w:val="0"/>
          <w:numId w:val="2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Повышение информированности людей старшего поколения по актуальным вопросам, (правовая, финансовая, социально-бытовая грамотность и т.д.). </w:t>
      </w:r>
      <w:r/>
    </w:p>
    <w:p>
      <w:pPr>
        <w:numPr>
          <w:ilvl w:val="0"/>
          <w:numId w:val="2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Развитие добровольчества среди людей старшего поколения.</w:t>
      </w:r>
      <w:r/>
    </w:p>
    <w:p>
      <w:pPr>
        <w:ind w:left="72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СРОКИ ПРОВЕДЕНИЯ ОСНОВНЫХ ЭТАПОВ</w:t>
      </w:r>
      <w:r>
        <w:rPr>
          <w:rFonts w:ascii="Arial" w:hAnsi="Arial" w:eastAsia="Arial" w:cs="Arial"/>
          <w:color w:val="000000"/>
          <w:sz w:val="22"/>
        </w:rPr>
        <w:t xml:space="preserve"> </w:t>
      </w:r>
      <w:r>
        <w:rPr>
          <w:rFonts w:ascii="Arial" w:hAnsi="Arial" w:eastAsia="Arial" w:cs="Arial"/>
          <w:b/>
          <w:color w:val="000000"/>
          <w:sz w:val="22"/>
        </w:rPr>
        <w:t xml:space="preserve">КОНКУРСА</w:t>
      </w:r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tbl>
      <w:tblPr>
        <w:tblStyle w:val="72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752"/>
        <w:gridCol w:w="4583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7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2"/>
              </w:rPr>
              <w:t xml:space="preserve">Этапы проведения Конкурса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58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2"/>
              </w:rPr>
              <w:t xml:space="preserve">Период </w:t>
            </w:r>
            <w:r/>
          </w:p>
        </w:tc>
      </w:tr>
      <w:tr>
        <w:tblPrEx/>
        <w:trPr>
          <w:trHeight w:val="5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7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Объявление Конкурса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58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01 октября 2024 г.</w:t>
            </w:r>
            <w:r/>
          </w:p>
        </w:tc>
      </w:tr>
      <w:tr>
        <w:tblPrEx/>
        <w:trPr>
          <w:trHeight w:val="1008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7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Прием заявок на Конкурс. 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Консультации по написанию заявок на Конкурс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58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01 октября – 15 ноября 2024 г.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63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752" w:type="dxa"/>
            <w:vAlign w:val="center"/>
            <w:textDirection w:val="lrTb"/>
            <w:noWrap w:val="false"/>
          </w:tcPr>
          <w:p>
            <w:pPr>
              <w:ind w:left="0" w:right="0" w:firstLine="0"/>
              <w:keepLines/>
              <w:spacing w:before="120" w:after="1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Объявление результатов Конкурса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58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Не позднее 30 января 2025 г.</w:t>
            </w:r>
            <w:r/>
          </w:p>
        </w:tc>
      </w:tr>
      <w:tr>
        <w:tblPrEx/>
        <w:trPr>
          <w:trHeight w:val="64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7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Заключение договоров с победителями Конкурса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58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Не позднее 15 февраля 2025 г.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7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Реализация проектов победителей Конкурса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58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Проекты от 3 до 6 месяцев, в период с 15 февраля по 15 августа 2025 г.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7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Предоставление отчетов об использовании пожертвований победителей Конкурса Фонду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58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Не позднее 31 августа 2025 г. </w:t>
            </w:r>
            <w:r/>
          </w:p>
        </w:tc>
      </w:tr>
    </w:tbl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УСЛОВИЯ ФИНАНСИРОВАНИЯ ПРОЕКТОВ</w:t>
      </w:r>
      <w:r/>
    </w:p>
    <w:p>
      <w:pPr>
        <w:numPr>
          <w:ilvl w:val="0"/>
          <w:numId w:val="3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Деятельность организации по предоставляемому на Конкурс проекту должна соответствовать уставным целям и уставной деятельности организации-заявителя.</w:t>
      </w:r>
      <w:r/>
    </w:p>
    <w:p>
      <w:pPr>
        <w:numPr>
          <w:ilvl w:val="0"/>
          <w:numId w:val="3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Деятельность по проекту должна осуществляться на территории Конкурса и соответствовать целям Конкурса.</w:t>
      </w:r>
      <w:r/>
    </w:p>
    <w:p>
      <w:pPr>
        <w:numPr>
          <w:ilvl w:val="0"/>
          <w:numId w:val="3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От одного заявителя может быть подана одна проектная заявка. </w:t>
      </w:r>
      <w:r/>
    </w:p>
    <w:p>
      <w:pPr>
        <w:numPr>
          <w:ilvl w:val="0"/>
          <w:numId w:val="3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Максимальный размер финансирования одного проекта составит не более 500 000 рублей. По инициативе Фонда бюджет Конкурса и размер поддержки проектов может быть увеличен.</w:t>
      </w:r>
      <w:r/>
    </w:p>
    <w:p>
      <w:pPr>
        <w:numPr>
          <w:ilvl w:val="0"/>
          <w:numId w:val="3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Длительность проекта от 3-х до 6-ти месяцев. Реализация проектов не может быть начата ранее 15 февраля 2025 г. и должна быть завершена не позднее 15 августа 2025 г.</w:t>
      </w:r>
      <w:r/>
    </w:p>
    <w:p>
      <w:pPr>
        <w:numPr>
          <w:ilvl w:val="0"/>
          <w:numId w:val="3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Финансирование проектов организаций - победителей Конкурса осуществляется путем безвозмездной передачи денежных средств в форме целевого поступления-пожертвования на основании договоров целевых пожертвований на реализацию проекта между организациями-победи</w:t>
      </w:r>
      <w:r>
        <w:rPr>
          <w:rFonts w:ascii="Arial" w:hAnsi="Arial" w:eastAsia="Arial" w:cs="Arial"/>
          <w:color w:val="000000"/>
          <w:sz w:val="22"/>
        </w:rPr>
        <w:t xml:space="preserve">телями и Фондом. </w:t>
      </w:r>
      <w:r/>
    </w:p>
    <w:p>
      <w:pPr>
        <w:numPr>
          <w:ilvl w:val="0"/>
          <w:numId w:val="3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После реализации проекта победитель Конкурса обязан предоставить финансовый и содержательный отчет о реализации проекта, требования к которому указываются в договоре целевого поступления-пожертвования, заключенного с победителем Конкурса.</w:t>
      </w:r>
      <w:r/>
    </w:p>
    <w:p>
      <w:pPr>
        <w:ind w:left="0" w:right="0" w:firstLine="0"/>
        <w:jc w:val="both"/>
        <w:keepLines/>
        <w:spacing w:before="12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ТРЕБОВАНИЯ К ПРОЕКТАМ</w:t>
      </w:r>
      <w:r/>
    </w:p>
    <w:p>
      <w:pPr>
        <w:ind w:left="0" w:right="0" w:firstLine="0"/>
        <w:jc w:val="both"/>
        <w:keepLines/>
        <w:spacing w:before="12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 Общие требования</w:t>
      </w:r>
      <w:r/>
    </w:p>
    <w:p>
      <w:pPr>
        <w:numPr>
          <w:ilvl w:val="0"/>
          <w:numId w:val="4"/>
        </w:numPr>
        <w:jc w:val="both"/>
        <w:spacing w:line="60" w:lineRule="atLeast"/>
        <w:tabs>
          <w:tab w:val="left" w:pos="720" w:leader="none"/>
        </w:tabs>
        <w:rPr>
          <w:rFonts w:ascii="Arial" w:hAnsi="Arial" w:eastAsia="Arial" w:cs="Arial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В проекте предложены мероприятия, которые предполагают непосредственную работу с целевой группой. Создание методических разработок, обучение 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специалистов, передача опыта и т.п. не поддерживается.</w:t>
      </w:r>
      <w:r>
        <w:rPr>
          <w:rFonts w:ascii="Arial" w:hAnsi="Arial" w:eastAsia="Arial" w:cs="Arial"/>
          <w:color w:val="000000"/>
          <w:sz w:val="22"/>
          <w:szCs w:val="22"/>
          <w14:ligatures w14:val="none"/>
        </w:rPr>
      </w:r>
      <w:r>
        <w:rPr>
          <w:rFonts w:ascii="Arial" w:hAnsi="Arial" w:eastAsia="Arial" w:cs="Arial"/>
          <w:color w:val="000000"/>
          <w:sz w:val="22"/>
          <w:szCs w:val="22"/>
          <w14:ligatures w14:val="none"/>
        </w:rPr>
      </w:r>
    </w:p>
    <w:p>
      <w:pPr>
        <w:numPr>
          <w:ilvl w:val="0"/>
          <w:numId w:val="4"/>
        </w:numPr>
        <w:jc w:val="both"/>
        <w:spacing w:line="60" w:lineRule="atLeast"/>
        <w:tabs>
          <w:tab w:val="left" w:pos="720" w:leader="none"/>
        </w:tabs>
        <w:rPr>
          <w:rFonts w:ascii="Arial" w:hAnsi="Arial" w:eastAsia="Arial" w:cs="Arial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szCs w:val="22"/>
        </w:rPr>
      </w:r>
      <w:r>
        <w:rPr>
          <w:rFonts w:ascii="Arial" w:hAnsi="Arial" w:eastAsia="Arial" w:cs="Arial"/>
          <w:color w:val="000000"/>
          <w:sz w:val="22"/>
          <w:szCs w:val="22"/>
          <w:lang w:eastAsia="ru-RU"/>
        </w:rPr>
        <w:t xml:space="preserve">Предложенные в проекте мероприятия и услуги для целевой аудитории востребованы и являются уникальными для территории проведения проекта (в «шаговой доступности» нет аналогичной деятельности).  </w:t>
      </w:r>
      <w:r>
        <w:rPr>
          <w:rFonts w:ascii="Arial" w:hAnsi="Arial" w:eastAsia="Arial" w:cs="Arial"/>
          <w:color w:val="000000"/>
          <w:sz w:val="22"/>
          <w:szCs w:val="22"/>
          <w14:ligatures w14:val="none"/>
        </w:rPr>
      </w:r>
      <w:r>
        <w:rPr>
          <w:rFonts w:ascii="Arial" w:hAnsi="Arial" w:eastAsia="Arial" w:cs="Arial"/>
          <w:color w:val="000000"/>
          <w:sz w:val="22"/>
          <w:szCs w:val="22"/>
          <w14:ligatures w14:val="none"/>
        </w:rPr>
      </w:r>
    </w:p>
    <w:p>
      <w:pPr>
        <w:numPr>
          <w:ilvl w:val="0"/>
          <w:numId w:val="4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Мероприятия проекта направлены на стимулирование активности целевой группы, предусмотрена возможность делиться знаниями, результатами творчества и пр.</w:t>
      </w:r>
      <w:r/>
    </w:p>
    <w:p>
      <w:pPr>
        <w:numPr>
          <w:ilvl w:val="0"/>
          <w:numId w:val="4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Приоритеты отдаются проектам, основная деятельность в которых направлена на пожилых людей старше 70 лет</w:t>
      </w:r>
      <w:r>
        <w:rPr>
          <w:rFonts w:ascii="Arial" w:hAnsi="Arial" w:eastAsia="Arial" w:cs="Arial"/>
          <w:color w:val="000000"/>
          <w:sz w:val="20"/>
        </w:rPr>
        <w:t xml:space="preserve">.</w:t>
      </w:r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p>
      <w:pPr>
        <w:numPr>
          <w:ilvl w:val="0"/>
          <w:numId w:val="4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Не поддерживаются проекты, предполагающие проведение одного мероприятия</w:t>
      </w:r>
      <w:r>
        <w:rPr>
          <w:rFonts w:ascii="Arial" w:hAnsi="Arial" w:eastAsia="Arial" w:cs="Arial"/>
          <w:color w:val="000000"/>
          <w:sz w:val="20"/>
        </w:rPr>
        <w:t xml:space="preserve">.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Ограничения по деятельности проектов</w:t>
      </w:r>
      <w:r/>
    </w:p>
    <w:p>
      <w:pPr>
        <w:ind w:left="709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Не могут быть поддержаны проекты, предполагающие следующие виды </w:t>
      </w:r>
      <w:r>
        <w:rPr>
          <w:rFonts w:ascii="Arial" w:hAnsi="Arial" w:eastAsia="Arial" w:cs="Arial"/>
          <w:b/>
          <w:i/>
          <w:color w:val="000000"/>
          <w:sz w:val="22"/>
        </w:rPr>
        <w:t xml:space="preserve">деятельности</w:t>
      </w:r>
      <w:r>
        <w:rPr>
          <w:rFonts w:ascii="Arial" w:hAnsi="Arial" w:eastAsia="Arial" w:cs="Arial"/>
          <w:i/>
          <w:color w:val="000000"/>
          <w:sz w:val="22"/>
        </w:rPr>
        <w:t xml:space="preserve">:</w:t>
      </w:r>
      <w:r>
        <w:rPr>
          <w:rFonts w:ascii="Arial" w:hAnsi="Arial" w:eastAsia="Arial" w:cs="Arial"/>
          <w:color w:val="000000"/>
          <w:sz w:val="22"/>
        </w:rPr>
        <w:t xml:space="preserve">  </w:t>
      </w:r>
      <w:r/>
    </w:p>
    <w:p>
      <w:pPr>
        <w:numPr>
          <w:ilvl w:val="0"/>
          <w:numId w:val="5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деятельность по предоставлению прямой денежной помощи физическим лицам;</w:t>
      </w:r>
      <w:r/>
    </w:p>
    <w:p>
      <w:pPr>
        <w:numPr>
          <w:ilvl w:val="0"/>
          <w:numId w:val="5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политическая деятельность</w:t>
      </w:r>
      <w:r>
        <w:rPr>
          <w:rFonts w:ascii="Arial" w:hAnsi="Arial" w:eastAsia="Arial" w:cs="Arial"/>
          <w:color w:val="000000"/>
          <w:sz w:val="22"/>
          <w:u w:val="single"/>
          <w:vertAlign w:val="superscript"/>
        </w:rPr>
        <w:footnoteReference w:id="2"/>
      </w:r>
      <w:r>
        <w:rPr>
          <w:rFonts w:ascii="Arial" w:hAnsi="Arial" w:eastAsia="Arial" w:cs="Arial"/>
          <w:color w:val="000000"/>
          <w:sz w:val="18"/>
          <w:vertAlign w:val="superscript"/>
        </w:rPr>
        <w:t xml:space="preserve">[1][1]</w:t>
      </w:r>
      <w:r>
        <w:rPr>
          <w:rFonts w:ascii="Arial" w:hAnsi="Arial" w:eastAsia="Arial" w:cs="Arial"/>
          <w:color w:val="000000"/>
          <w:sz w:val="22"/>
        </w:rPr>
        <w:t xml:space="preserve"> и деятельность, направленная на поддержку и/или участие в выборных кампаниях; </w:t>
      </w:r>
      <w:r/>
    </w:p>
    <w:p>
      <w:pPr>
        <w:numPr>
          <w:ilvl w:val="0"/>
          <w:numId w:val="5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капитальное строительство и капитальный ремонт;</w:t>
      </w:r>
      <w:r/>
    </w:p>
    <w:p>
      <w:pPr>
        <w:numPr>
          <w:ilvl w:val="0"/>
          <w:numId w:val="5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предоставление финансирования и/или иных безвозмездных целевых поступлений (пожертвований, средств на осуществление благотворительной деятельности и др.) другим организациям;</w:t>
      </w:r>
      <w:r/>
    </w:p>
    <w:p>
      <w:pPr>
        <w:numPr>
          <w:ilvl w:val="0"/>
          <w:numId w:val="5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академические исследования и разработки;</w:t>
      </w:r>
      <w:r/>
    </w:p>
    <w:p>
      <w:pPr>
        <w:numPr>
          <w:ilvl w:val="0"/>
          <w:numId w:val="5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коммерческая, приносящая доход, деятельность; </w:t>
      </w:r>
      <w:r/>
    </w:p>
    <w:p>
      <w:pPr>
        <w:numPr>
          <w:ilvl w:val="0"/>
          <w:numId w:val="5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для осуществления деятельности, не связанной с представленным на конкурс проектом;  </w:t>
      </w:r>
      <w:r/>
    </w:p>
    <w:p>
      <w:pPr>
        <w:numPr>
          <w:ilvl w:val="0"/>
          <w:numId w:val="5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для проведения международных мероприятий;  </w:t>
      </w:r>
      <w:r/>
    </w:p>
    <w:p>
      <w:pPr>
        <w:numPr>
          <w:ilvl w:val="0"/>
          <w:numId w:val="5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деятельность, содержащая элементы, противоречащие действующему законодательству РФ.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Не поддерживаются проекты, включающие следующие виды </w:t>
      </w:r>
      <w:r>
        <w:rPr>
          <w:rFonts w:ascii="Arial" w:hAnsi="Arial" w:eastAsia="Arial" w:cs="Arial"/>
          <w:b/>
          <w:i/>
          <w:color w:val="000000"/>
          <w:sz w:val="22"/>
        </w:rPr>
        <w:t xml:space="preserve">расходов</w:t>
      </w:r>
      <w:r>
        <w:rPr>
          <w:rFonts w:ascii="Arial" w:hAnsi="Arial" w:eastAsia="Arial" w:cs="Arial"/>
          <w:i/>
          <w:color w:val="000000"/>
          <w:sz w:val="22"/>
        </w:rPr>
        <w:t xml:space="preserve">:</w:t>
      </w:r>
      <w:r/>
    </w:p>
    <w:p>
      <w:pPr>
        <w:numPr>
          <w:ilvl w:val="0"/>
          <w:numId w:val="5"/>
        </w:numPr>
        <w:jc w:val="both"/>
        <w:spacing w:line="60" w:lineRule="atLeast"/>
        <w:tabs>
          <w:tab w:val="clear" w:pos="720" w:leader="none"/>
        </w:tabs>
        <w:rPr>
          <w:rFonts w:ascii="Arial" w:hAnsi="Arial" w:eastAsia="Arial" w:cs="Arial"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szCs w:val="22"/>
        </w:rPr>
      </w:r>
      <w:bookmarkStart w:id="0" w:name="undefined"/>
      <w:r>
        <w:rPr>
          <w:rFonts w:ascii="Arial" w:hAnsi="Arial" w:eastAsia="Arial" w:cs="Arial"/>
          <w:color w:val="000000"/>
          <w:sz w:val="22"/>
          <w:szCs w:val="22"/>
          <w:lang w:eastAsia="ru-RU"/>
        </w:rPr>
        <w:t xml:space="preserve">покрытие расходов, осуществленных до перечисления средств на реализацию проекта; </w:t>
      </w:r>
      <w:bookmarkEnd w:id="0"/>
      <w:r>
        <w:rPr>
          <w:rFonts w:ascii="Arial" w:hAnsi="Arial" w:eastAsia="Arial" w:cs="Arial"/>
          <w:color w:val="000000"/>
          <w:sz w:val="24"/>
          <w:szCs w:val="24"/>
          <w14:ligatures w14:val="none"/>
        </w:rPr>
      </w:r>
      <w:r>
        <w:rPr>
          <w:rFonts w:ascii="Arial" w:hAnsi="Arial" w:eastAsia="Arial" w:cs="Arial"/>
          <w:color w:val="000000"/>
          <w:sz w:val="24"/>
          <w:szCs w:val="24"/>
          <w14:ligatures w14:val="none"/>
        </w:rPr>
      </w:r>
    </w:p>
    <w:p>
      <w:pPr>
        <w:numPr>
          <w:ilvl w:val="0"/>
          <w:numId w:val="5"/>
        </w:numPr>
        <w:jc w:val="both"/>
        <w:spacing w:line="60" w:lineRule="atLeast"/>
        <w:tabs>
          <w:tab w:val="clear" w:pos="720" w:leader="none"/>
        </w:tabs>
        <w:rPr>
          <w:rFonts w:ascii="Arial" w:hAnsi="Arial" w:eastAsia="Arial" w:cs="Arial"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szCs w:val="22"/>
          <w:lang w:eastAsia="ru-RU"/>
        </w:rPr>
        <w:t xml:space="preserve">покрытие текущих расходов и долгов организации;</w:t>
      </w:r>
      <w:r>
        <w:rPr>
          <w:rFonts w:ascii="Arial" w:hAnsi="Arial" w:eastAsia="Arial" w:cs="Arial"/>
          <w:color w:val="000000"/>
          <w:sz w:val="24"/>
          <w:szCs w:val="24"/>
          <w14:ligatures w14:val="none"/>
        </w:rPr>
      </w:r>
      <w:r>
        <w:rPr>
          <w:rFonts w:ascii="Arial" w:hAnsi="Arial" w:eastAsia="Arial" w:cs="Arial"/>
          <w:color w:val="000000"/>
          <w:sz w:val="24"/>
          <w:szCs w:val="24"/>
          <w14:ligatures w14:val="none"/>
        </w:rPr>
      </w:r>
    </w:p>
    <w:p>
      <w:pPr>
        <w:numPr>
          <w:ilvl w:val="0"/>
          <w:numId w:val="5"/>
        </w:numPr>
        <w:jc w:val="both"/>
        <w:spacing w:line="60" w:lineRule="atLeast"/>
        <w:tabs>
          <w:tab w:val="clear" w:pos="720" w:leader="none"/>
        </w:tabs>
        <w:rPr>
          <w:rFonts w:ascii="Arial" w:hAnsi="Arial" w:eastAsia="Arial" w:cs="Arial"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szCs w:val="22"/>
          <w:lang w:eastAsia="ru-RU"/>
        </w:rPr>
        <w:t xml:space="preserve">расходы на приобретение гуманитарной и иной материальной помощи; </w:t>
      </w:r>
      <w:r>
        <w:rPr>
          <w:rFonts w:ascii="Arial" w:hAnsi="Arial" w:eastAsia="Arial" w:cs="Arial"/>
          <w:color w:val="000000"/>
          <w:sz w:val="24"/>
          <w:szCs w:val="24"/>
          <w14:ligatures w14:val="none"/>
        </w:rPr>
      </w:r>
      <w:r>
        <w:rPr>
          <w:rFonts w:ascii="Arial" w:hAnsi="Arial" w:eastAsia="Arial" w:cs="Arial"/>
          <w:color w:val="000000"/>
          <w:sz w:val="24"/>
          <w:szCs w:val="24"/>
          <w14:ligatures w14:val="none"/>
        </w:rPr>
      </w:r>
    </w:p>
    <w:p>
      <w:pPr>
        <w:numPr>
          <w:ilvl w:val="0"/>
          <w:numId w:val="5"/>
        </w:numPr>
        <w:jc w:val="both"/>
        <w:spacing w:line="60" w:lineRule="atLeast"/>
        <w:tabs>
          <w:tab w:val="clear" w:pos="720" w:leader="none"/>
        </w:tabs>
        <w:rPr>
          <w:rFonts w:ascii="Arial" w:hAnsi="Arial" w:eastAsia="Arial" w:cs="Arial"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szCs w:val="22"/>
          <w:lang w:eastAsia="ru-RU"/>
        </w:rPr>
        <w:t xml:space="preserve">представительские расходы, в </w:t>
      </w:r>
      <w:r>
        <w:rPr>
          <w:rFonts w:ascii="Arial" w:hAnsi="Arial" w:eastAsia="Arial" w:cs="Arial"/>
          <w:color w:val="000000"/>
          <w:sz w:val="22"/>
          <w:szCs w:val="22"/>
          <w:lang w:eastAsia="ru-RU"/>
        </w:rPr>
        <w:t xml:space="preserve">т.ч</w:t>
      </w:r>
      <w:r>
        <w:rPr>
          <w:rFonts w:ascii="Arial" w:hAnsi="Arial" w:eastAsia="Arial" w:cs="Arial"/>
          <w:color w:val="000000"/>
          <w:sz w:val="22"/>
          <w:szCs w:val="22"/>
          <w:lang w:eastAsia="ru-RU"/>
        </w:rPr>
        <w:t xml:space="preserve">. приобретение алкоголя;</w:t>
      </w:r>
      <w:r>
        <w:rPr>
          <w:rFonts w:ascii="Arial" w:hAnsi="Arial" w:eastAsia="Arial" w:cs="Arial"/>
          <w:color w:val="000000"/>
          <w:sz w:val="24"/>
          <w:szCs w:val="24"/>
          <w14:ligatures w14:val="none"/>
        </w:rPr>
      </w:r>
      <w:r>
        <w:rPr>
          <w:rFonts w:ascii="Arial" w:hAnsi="Arial" w:eastAsia="Arial" w:cs="Arial"/>
          <w:color w:val="000000"/>
          <w:sz w:val="24"/>
          <w:szCs w:val="24"/>
          <w14:ligatures w14:val="none"/>
        </w:rPr>
      </w:r>
    </w:p>
    <w:p>
      <w:pPr>
        <w:numPr>
          <w:ilvl w:val="0"/>
          <w:numId w:val="5"/>
        </w:numPr>
        <w:jc w:val="both"/>
        <w:spacing w:line="60" w:lineRule="atLeast"/>
        <w:tabs>
          <w:tab w:val="clear" w:pos="720" w:leader="none"/>
        </w:tabs>
        <w:rPr>
          <w:rFonts w:ascii="Arial" w:hAnsi="Arial" w:eastAsia="Arial" w:cs="Arial"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szCs w:val="22"/>
          <w:lang w:eastAsia="ru-RU"/>
        </w:rPr>
        <w:t xml:space="preserve">финансирование любых иных расходов, не связанных непосредственно с реализацией проекта; </w:t>
      </w:r>
      <w:r>
        <w:rPr>
          <w:rFonts w:ascii="Arial" w:hAnsi="Arial" w:eastAsia="Arial" w:cs="Arial"/>
          <w:color w:val="000000"/>
          <w:sz w:val="24"/>
          <w:szCs w:val="24"/>
          <w14:ligatures w14:val="none"/>
        </w:rPr>
      </w:r>
      <w:r>
        <w:rPr>
          <w:rFonts w:ascii="Arial" w:hAnsi="Arial" w:eastAsia="Arial" w:cs="Arial"/>
          <w:color w:val="000000"/>
          <w:sz w:val="24"/>
          <w:szCs w:val="24"/>
          <w14:ligatures w14:val="none"/>
        </w:rPr>
      </w:r>
    </w:p>
    <w:p>
      <w:pPr>
        <w:numPr>
          <w:ilvl w:val="0"/>
          <w:numId w:val="5"/>
        </w:numPr>
        <w:jc w:val="both"/>
        <w:spacing w:line="60" w:lineRule="atLeast"/>
        <w:tabs>
          <w:tab w:val="clear" w:pos="720" w:leader="none"/>
        </w:tabs>
        <w:rPr>
          <w:rFonts w:ascii="Arial" w:hAnsi="Arial" w:eastAsia="Arial" w:cs="Arial"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szCs w:val="22"/>
          <w:lang w:eastAsia="ru-RU"/>
        </w:rPr>
        <w:t xml:space="preserve">расходы,  связанные с зарубежными командировками; </w:t>
      </w:r>
      <w:r>
        <w:rPr>
          <w:rFonts w:ascii="Arial" w:hAnsi="Arial" w:eastAsia="Arial" w:cs="Arial"/>
          <w:color w:val="000000"/>
          <w:sz w:val="24"/>
          <w:szCs w:val="24"/>
          <w14:ligatures w14:val="none"/>
        </w:rPr>
      </w:r>
      <w:r>
        <w:rPr>
          <w:rFonts w:ascii="Arial" w:hAnsi="Arial" w:eastAsia="Arial" w:cs="Arial"/>
          <w:color w:val="000000"/>
          <w:sz w:val="24"/>
          <w:szCs w:val="24"/>
          <w14:ligatures w14:val="none"/>
        </w:rPr>
      </w:r>
    </w:p>
    <w:p>
      <w:pPr>
        <w:numPr>
          <w:ilvl w:val="0"/>
          <w:numId w:val="5"/>
        </w:numPr>
        <w:jc w:val="both"/>
        <w:spacing w:line="60" w:lineRule="atLeast"/>
        <w:tabs>
          <w:tab w:val="clear" w:pos="720" w:leader="none"/>
        </w:tabs>
        <w:rPr>
          <w:rFonts w:ascii="Arial" w:hAnsi="Arial" w:eastAsia="Arial" w:cs="Arial"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szCs w:val="22"/>
          <w:lang w:eastAsia="ru-RU"/>
        </w:rPr>
        <w:t xml:space="preserve">расходы, связанные с избирательными кампаниями;  </w:t>
      </w:r>
      <w:r>
        <w:rPr>
          <w:rFonts w:ascii="Arial" w:hAnsi="Arial" w:eastAsia="Arial" w:cs="Arial"/>
          <w:color w:val="000000"/>
          <w:sz w:val="24"/>
          <w:szCs w:val="24"/>
          <w14:ligatures w14:val="none"/>
        </w:rPr>
      </w:r>
      <w:r>
        <w:rPr>
          <w:rFonts w:ascii="Arial" w:hAnsi="Arial" w:eastAsia="Arial" w:cs="Arial"/>
          <w:color w:val="000000"/>
          <w:sz w:val="24"/>
          <w:szCs w:val="24"/>
          <w14:ligatures w14:val="none"/>
        </w:rPr>
      </w:r>
    </w:p>
    <w:p>
      <w:pPr>
        <w:numPr>
          <w:ilvl w:val="0"/>
          <w:numId w:val="5"/>
        </w:numPr>
        <w:jc w:val="both"/>
        <w:spacing w:line="60" w:lineRule="atLeast"/>
        <w:tabs>
          <w:tab w:val="clear" w:pos="720" w:leader="none"/>
        </w:tabs>
        <w:rPr>
          <w:rFonts w:ascii="Arial" w:hAnsi="Arial" w:eastAsia="Arial" w:cs="Arial"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szCs w:val="22"/>
          <w:lang w:eastAsia="ru-RU"/>
        </w:rPr>
        <w:t xml:space="preserve">расходы на издательскую деятельность (без иной деятельности);</w:t>
      </w:r>
      <w:r>
        <w:rPr>
          <w:rFonts w:ascii="Arial" w:hAnsi="Arial" w:eastAsia="Arial" w:cs="Arial"/>
          <w:color w:val="000000"/>
          <w:sz w:val="24"/>
          <w:szCs w:val="24"/>
          <w14:ligatures w14:val="none"/>
        </w:rPr>
      </w:r>
      <w:r>
        <w:rPr>
          <w:rFonts w:ascii="Arial" w:hAnsi="Arial" w:eastAsia="Arial" w:cs="Arial"/>
          <w:color w:val="000000"/>
          <w:sz w:val="24"/>
          <w:szCs w:val="24"/>
          <w14:ligatures w14:val="none"/>
        </w:rPr>
      </w:r>
    </w:p>
    <w:p>
      <w:pPr>
        <w:numPr>
          <w:ilvl w:val="0"/>
          <w:numId w:val="5"/>
        </w:numPr>
        <w:jc w:val="both"/>
        <w:spacing w:line="60" w:lineRule="atLeast"/>
        <w:tabs>
          <w:tab w:val="clear" w:pos="720" w:leader="none"/>
        </w:tabs>
        <w:rPr>
          <w:rFonts w:ascii="Arial" w:hAnsi="Arial" w:eastAsia="Arial" w:cs="Arial"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szCs w:val="22"/>
          <w:lang w:eastAsia="ru-RU"/>
        </w:rPr>
        <w:t xml:space="preserve">расходы на ремонт помещения (кроме работ, необходимых для выполнения основной деятельности по проекту); </w:t>
      </w:r>
      <w:r>
        <w:rPr>
          <w:rFonts w:ascii="Arial" w:hAnsi="Arial" w:eastAsia="Arial" w:cs="Arial"/>
          <w:color w:val="000000"/>
          <w:sz w:val="24"/>
          <w:szCs w:val="24"/>
          <w14:ligatures w14:val="none"/>
        </w:rPr>
      </w:r>
      <w:r>
        <w:rPr>
          <w:rFonts w:ascii="Arial" w:hAnsi="Arial" w:eastAsia="Arial" w:cs="Arial"/>
          <w:color w:val="000000"/>
          <w:sz w:val="24"/>
          <w:szCs w:val="24"/>
          <w14:ligatures w14:val="none"/>
        </w:rPr>
      </w:r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УСЛОВИЯ ПРИЕМА ЗАЯВОК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Заявки, подаваемые на Конкурс, должны быть оформлены в соответствии с требованиями настоящего Положения. 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Заявки, не отвечающие установленным требованиям и/или не содержащие всех необходимых приложений, не будут допущены к участию в Конкурсе</w:t>
      </w:r>
      <w:r>
        <w:rPr>
          <w:rFonts w:ascii="Arial" w:hAnsi="Arial" w:eastAsia="Arial" w:cs="Arial"/>
          <w:color w:val="000000"/>
          <w:sz w:val="22"/>
        </w:rPr>
        <w:t xml:space="preserve">. 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Представленные на Конкурс заявки не рецензируются и не возвращаются.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Заявки должны подаваться на Конкурс в следующей комплектации:</w:t>
      </w:r>
      <w:r/>
    </w:p>
    <w:p>
      <w:pPr>
        <w:numPr>
          <w:ilvl w:val="0"/>
          <w:numId w:val="7"/>
        </w:numPr>
        <w:jc w:val="both"/>
        <w:spacing w:line="60" w:lineRule="atLeast"/>
        <w:tabs>
          <w:tab w:val="left" w:pos="720" w:leader="none"/>
          <w:tab w:val="left" w:pos="78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Описание проекта (вместе с бюджетом) в электронном виде по образцу, установленному Фондом (Приложение 1). Заявители должны заполнить все разделы формы заявки на русском языке.</w:t>
      </w:r>
      <w:r>
        <w:rPr>
          <w:rFonts w:ascii="Arial" w:hAnsi="Arial" w:eastAsia="Arial" w:cs="Arial"/>
          <w:color w:val="000000"/>
          <w:sz w:val="22"/>
        </w:rPr>
        <w:t xml:space="preserve">  </w:t>
      </w:r>
      <w:r/>
    </w:p>
    <w:p>
      <w:pPr>
        <w:numPr>
          <w:ilvl w:val="0"/>
          <w:numId w:val="7"/>
        </w:numPr>
        <w:jc w:val="both"/>
        <w:spacing w:line="60" w:lineRule="atLeast"/>
        <w:tabs>
          <w:tab w:val="left" w:pos="720" w:leader="none"/>
          <w:tab w:val="left" w:pos="78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Комплект копий документов в электронном - сканированном виде (в формате PDF или JPG)</w:t>
      </w:r>
      <w:r>
        <w:rPr>
          <w:rFonts w:ascii="Arial" w:hAnsi="Arial" w:eastAsia="Arial" w:cs="Arial"/>
          <w:color w:val="000000"/>
          <w:sz w:val="22"/>
        </w:rPr>
        <w:t xml:space="preserve">:</w:t>
      </w:r>
      <w:r/>
    </w:p>
    <w:p>
      <w:pPr>
        <w:numPr>
          <w:ilvl w:val="0"/>
          <w:numId w:val="8"/>
        </w:numPr>
        <w:jc w:val="both"/>
        <w:spacing w:line="60" w:lineRule="atLeast"/>
        <w:tabs>
          <w:tab w:val="left" w:pos="78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Копия Устава организации (в одном файле) в формате. </w:t>
      </w:r>
      <w:r/>
    </w:p>
    <w:p>
      <w:pPr>
        <w:numPr>
          <w:ilvl w:val="0"/>
          <w:numId w:val="8"/>
        </w:numPr>
        <w:jc w:val="both"/>
        <w:spacing w:line="60" w:lineRule="atLeast"/>
        <w:tabs>
          <w:tab w:val="left" w:pos="78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Копия выписки из ЕГРЮЛ, полученной не ранее, чем за 2 (два) месяца до дня подачи документов на Конкурс (можно с официального сайта ФНС России).</w:t>
      </w:r>
      <w:r/>
    </w:p>
    <w:p>
      <w:pPr>
        <w:numPr>
          <w:ilvl w:val="0"/>
          <w:numId w:val="8"/>
        </w:numPr>
        <w:jc w:val="both"/>
        <w:spacing w:line="60" w:lineRule="atLeast"/>
        <w:tabs>
          <w:tab w:val="left" w:pos="78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Копия документа, подтверждающего полномочия лица, которое будет подписывать договор (протокол об избрании, доверенность).</w:t>
      </w:r>
      <w:r/>
    </w:p>
    <w:p>
      <w:pPr>
        <w:numPr>
          <w:ilvl w:val="0"/>
          <w:numId w:val="8"/>
        </w:numPr>
        <w:jc w:val="both"/>
        <w:spacing w:line="60" w:lineRule="atLeast"/>
        <w:tabs>
          <w:tab w:val="left" w:pos="78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Копия письма из банка об открытии счета организации с указанием полных реквизитов для проведения платежей.</w:t>
      </w:r>
      <w:r/>
    </w:p>
    <w:p>
      <w:pPr>
        <w:numPr>
          <w:ilvl w:val="0"/>
          <w:numId w:val="8"/>
        </w:numPr>
        <w:jc w:val="both"/>
        <w:spacing w:line="60" w:lineRule="atLeast"/>
        <w:tabs>
          <w:tab w:val="left" w:pos="78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Копия отчета, подаваемого в Минюст России за предшествующий год с отметкой о вручении (отправлении почтой) либо, в случаях, предусмотренных законом, письмо о продолжении деятельности организации. Если направлялся отчет в электронном виде, то необходимо отр</w:t>
      </w:r>
      <w:r>
        <w:rPr>
          <w:rFonts w:ascii="Arial" w:hAnsi="Arial" w:eastAsia="Arial" w:cs="Arial"/>
          <w:color w:val="000000"/>
          <w:sz w:val="22"/>
        </w:rPr>
        <w:t xml:space="preserve">азить этот момент в письме руководителя с указанием ссылки на сайт Минюста.</w:t>
      </w:r>
      <w:r/>
    </w:p>
    <w:p>
      <w:pPr>
        <w:numPr>
          <w:ilvl w:val="0"/>
          <w:numId w:val="8"/>
        </w:numPr>
        <w:jc w:val="both"/>
        <w:spacing w:line="60" w:lineRule="atLeast"/>
        <w:tabs>
          <w:tab w:val="left" w:pos="78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Копия справки налогового органа об отсутствии или наличии в размере не более одной тысячи рублей у организации задолженности по уплате налогов, сборов и иных обязательных платежей, подлежащих уплате в соответствии с законодательством Российской Федерации о</w:t>
      </w:r>
      <w:r>
        <w:rPr>
          <w:rFonts w:ascii="Arial" w:hAnsi="Arial" w:eastAsia="Arial" w:cs="Arial"/>
          <w:color w:val="000000"/>
          <w:sz w:val="22"/>
        </w:rPr>
        <w:t xml:space="preserve"> налогах и сборах в федеральный бюджет, региональный бюджет, местный бюджет (в том числе допускаются к рассмотрению справки, сформированные налоговым органом в электронном виде). </w:t>
      </w:r>
      <w:r/>
    </w:p>
    <w:p>
      <w:pPr>
        <w:numPr>
          <w:ilvl w:val="0"/>
          <w:numId w:val="8"/>
        </w:numPr>
        <w:jc w:val="both"/>
        <w:spacing w:line="60" w:lineRule="atLeast"/>
        <w:shd w:val="clear" w:color="ffffff" w:fill="ffffff"/>
        <w:tabs>
          <w:tab w:val="left" w:pos="78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Муниципальные бюджетные организации предоставляют информацию о банковских реквизитах в виде копии справки, которая должна быть заверена профильным финансовым ведомством (например, департаментом финансов и казначейского исполнения бюджета Администрации горо</w:t>
      </w:r>
      <w:r>
        <w:rPr>
          <w:rFonts w:ascii="Arial" w:hAnsi="Arial" w:eastAsia="Arial" w:cs="Arial"/>
          <w:color w:val="000000"/>
          <w:sz w:val="22"/>
        </w:rPr>
        <w:t xml:space="preserve">да).</w:t>
      </w:r>
      <w:r/>
    </w:p>
    <w:p>
      <w:pPr>
        <w:numPr>
          <w:ilvl w:val="0"/>
          <w:numId w:val="8"/>
        </w:numPr>
        <w:jc w:val="both"/>
        <w:spacing w:line="60" w:lineRule="atLeast"/>
        <w:tabs>
          <w:tab w:val="left" w:pos="78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Копия письма р</w:t>
      </w:r>
      <w:r>
        <w:rPr>
          <w:rFonts w:ascii="Arial" w:hAnsi="Arial" w:eastAsia="Arial" w:cs="Arial"/>
          <w:color w:val="000000"/>
          <w:sz w:val="22"/>
        </w:rPr>
        <w:t xml:space="preserve">уководителя организации, подтверждающего актуальность и достоверность присланных документов, (письмо составляется по образцу, установленным Фондом, Приложение 2). Победители Конкурса, в случае заключения с ними договора целевого поступления – пожертвования</w:t>
      </w:r>
      <w:r>
        <w:rPr>
          <w:rFonts w:ascii="Arial" w:hAnsi="Arial" w:eastAsia="Arial" w:cs="Arial"/>
          <w:color w:val="000000"/>
          <w:sz w:val="22"/>
        </w:rPr>
        <w:t xml:space="preserve">, предоставляют данное письмо в оригинале.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Arial" w:hAnsi="Arial" w:eastAsia="Arial" w:cs="Arial"/>
          <w:color w:val="000000"/>
          <w:sz w:val="22"/>
        </w:rPr>
        <w:t xml:space="preserve">Фонд оставляет за собой право запросить у организаций дополнительные документы в случае необходимости.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Процедура подачи заявки 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Заявки (описание проекта, включая бюджет и комплект копий документов) должны быть отправлены в Фонд до 18.00 московского времени 15 ноября 2024 г.  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i/>
          <w:color w:val="000000"/>
          <w:sz w:val="22"/>
          <w:u w:val="single"/>
        </w:rPr>
        <w:t xml:space="preserve">Внимание!</w:t>
      </w:r>
      <w:r>
        <w:rPr>
          <w:rFonts w:ascii="Arial" w:hAnsi="Arial" w:eastAsia="Arial" w:cs="Arial"/>
          <w:color w:val="000000"/>
          <w:sz w:val="22"/>
          <w:u w:val="single"/>
        </w:rPr>
        <w:t xml:space="preserve"> </w:t>
      </w:r>
      <w:r>
        <w:rPr>
          <w:rFonts w:ascii="Arial" w:hAnsi="Arial" w:eastAsia="Arial" w:cs="Arial"/>
          <w:color w:val="000000"/>
          <w:sz w:val="22"/>
        </w:rPr>
        <w:t xml:space="preserve">Заявки, поступившие после указанного времени,</w:t>
      </w:r>
      <w:r>
        <w:rPr>
          <w:rFonts w:ascii="Arial" w:hAnsi="Arial" w:eastAsia="Arial" w:cs="Arial"/>
          <w:b/>
          <w:color w:val="000000"/>
          <w:sz w:val="22"/>
        </w:rPr>
        <w:t xml:space="preserve"> </w:t>
      </w:r>
      <w:r>
        <w:rPr>
          <w:rFonts w:ascii="Arial" w:hAnsi="Arial" w:eastAsia="Arial" w:cs="Arial"/>
          <w:color w:val="000000"/>
          <w:sz w:val="22"/>
        </w:rPr>
        <w:t xml:space="preserve">не будут зарегистрированы и допущены к участию в Конкурсе.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Заявки направляются по адресу </w:t>
      </w:r>
      <w:r>
        <w:rPr>
          <w:rFonts w:ascii="Arial" w:hAnsi="Arial" w:eastAsia="Arial" w:cs="Arial"/>
          <w:color w:val="0000ff"/>
          <w:sz w:val="22"/>
          <w:u w:val="single"/>
        </w:rPr>
        <w:t xml:space="preserve">uzory@givingculture.ru</w:t>
      </w:r>
      <w:r>
        <w:rPr>
          <w:rFonts w:ascii="Arial" w:hAnsi="Arial" w:eastAsia="Arial" w:cs="Arial"/>
          <w:color w:val="000000"/>
          <w:sz w:val="22"/>
        </w:rPr>
        <w:t xml:space="preserve">. </w:t>
      </w:r>
      <w:r>
        <w:rPr>
          <w:rFonts w:ascii="Arial" w:hAnsi="Arial" w:eastAsia="Arial" w:cs="Arial"/>
          <w:b/>
          <w:color w:val="000000"/>
          <w:sz w:val="22"/>
        </w:rPr>
        <w:t xml:space="preserve">В теме письма должно быть указано «Заявка на конкурс «Узоры серебра».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>
        <w:rPr>
          <w:rFonts w:ascii="Arial" w:hAnsi="Arial" w:eastAsia="Arial" w:cs="Arial"/>
          <w:color w:val="000000"/>
          <w:sz w:val="22"/>
        </w:rPr>
        <w:t xml:space="preserve"> </w:t>
      </w:r>
      <w:r>
        <w:rPr>
          <w:rFonts w:ascii="Arial" w:hAnsi="Arial" w:eastAsia="Arial" w:cs="Arial"/>
          <w:b/>
          <w:color w:val="000000"/>
          <w:sz w:val="22"/>
        </w:rPr>
        <w:t xml:space="preserve"> ПРОЦЕДУРА РАССМОТРЕНИЯ ЗАЯВОК</w:t>
      </w:r>
      <w:r/>
    </w:p>
    <w:p>
      <w:pPr>
        <w:numPr>
          <w:ilvl w:val="0"/>
          <w:numId w:val="1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Первичный отбор заявок, поступивших на Конкурс (техническая экспертиза), осуществляется сотрудниками Фонда. Поступившие заявки проверяются на предмет соответствия целям и условиям Конкурса, наличия необходимых документов, а также юридического статуса заяви</w:t>
      </w:r>
      <w:r>
        <w:rPr>
          <w:rFonts w:ascii="Arial" w:hAnsi="Arial" w:eastAsia="Arial" w:cs="Arial"/>
          <w:color w:val="000000"/>
          <w:sz w:val="22"/>
        </w:rPr>
        <w:t xml:space="preserve">теля.</w:t>
      </w:r>
      <w:r/>
    </w:p>
    <w:p>
      <w:pPr>
        <w:numPr>
          <w:ilvl w:val="0"/>
          <w:numId w:val="1"/>
        </w:numPr>
        <w:jc w:val="both"/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Поступившие на Конкурс и прошедшие техническую экспертизу заявки рассматриваются экспертным советом Конкурса, в состав которого могут войти: эксперты, чья профессиональная деятельность имеет отношение к проблематике старшего поколения; представители Фонда.</w:t>
      </w:r>
      <w:r>
        <w:rPr>
          <w:rFonts w:ascii="Arial" w:hAnsi="Arial" w:eastAsia="Arial" w:cs="Arial"/>
          <w:color w:val="000000"/>
          <w:sz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numPr>
          <w:ilvl w:val="0"/>
          <w:numId w:val="1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Экспертный совет строит свою деятельность на принципах демократичности, коллегиальности и открытости и действует на основе Положения об Экспертном совете, утверждаемом Фондом.</w:t>
      </w:r>
      <w:r/>
    </w:p>
    <w:p>
      <w:pPr>
        <w:numPr>
          <w:ilvl w:val="0"/>
          <w:numId w:val="1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Экспертный совет рассматривает поступившие заявки в соответствии со следующими критериями оценки: </w:t>
      </w:r>
      <w:r/>
    </w:p>
    <w:p>
      <w:pPr>
        <w:pStyle w:val="870"/>
        <w:numPr>
          <w:ilvl w:val="0"/>
          <w:numId w:val="12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актуальность проблемы, на решение которой направлен проект;</w:t>
      </w:r>
      <w:r/>
    </w:p>
    <w:p>
      <w:pPr>
        <w:pStyle w:val="870"/>
        <w:numPr>
          <w:ilvl w:val="0"/>
          <w:numId w:val="12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соответствие возможностей организации запланированной деятельности по проекту; </w:t>
      </w:r>
      <w:r/>
    </w:p>
    <w:p>
      <w:pPr>
        <w:pStyle w:val="870"/>
        <w:numPr>
          <w:ilvl w:val="0"/>
          <w:numId w:val="12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конкретность и значимость результатов проекта для целевой группы;</w:t>
      </w:r>
      <w:r/>
    </w:p>
    <w:p>
      <w:pPr>
        <w:pStyle w:val="870"/>
        <w:numPr>
          <w:ilvl w:val="0"/>
          <w:numId w:val="12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специалисты организации обладают навыками работы с людьми старшего поколения;</w:t>
      </w:r>
      <w:r/>
    </w:p>
    <w:p>
      <w:pPr>
        <w:pStyle w:val="870"/>
        <w:numPr>
          <w:ilvl w:val="0"/>
          <w:numId w:val="12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 соответствие планируемых мероприятий целям и задачам проекта, реалистичность сроков; </w:t>
      </w:r>
      <w:r/>
    </w:p>
    <w:p>
      <w:pPr>
        <w:pStyle w:val="870"/>
        <w:numPr>
          <w:ilvl w:val="0"/>
          <w:numId w:val="12"/>
        </w:numPr>
        <w:jc w:val="both"/>
        <w:spacing w:line="60" w:lineRule="atLeast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реалистичность бюджета (реалистичность и обоснованность затрат по проекту); 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Экспертный совет имеет право предложить организациям-заявителям внести изменения в бюджет проекта, сроки его реализации и в другие условия. В случае, если организация-заявитель отказывается от доработки проекта в соответствии с рекомендациями экспертног</w:t>
      </w:r>
      <w:r>
        <w:rPr>
          <w:rFonts w:ascii="Arial" w:hAnsi="Arial" w:eastAsia="Arial" w:cs="Arial"/>
          <w:color w:val="000000"/>
          <w:sz w:val="22"/>
        </w:rPr>
        <w:t xml:space="preserve">о совета, такой проект может быть исключен из числа победителей конкурса и не будет поддержан. 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СРОК И ПОРЯДОК ОБЪЯВЛЕНИЯ РЕЗУЛЬТАТОВ КОНКУРСА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Победители Конкурса будут уведомлены по электронной почте о принятом решении о финансировании не позднее 5 (пяти) рабочих дней, начиная со дня объявления результатов Конкурса.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ПОРЯДОК ЗАКЛЮЧЕНИЯ ДОГОВОРОВ О ПРЕДОСТАВЛЕНИИ ФИНАНСИРОВАНИЯ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Заключение договоров на финансирование проектов-победителей происходит после доработки проектов в соответствии с рекомендациями экспертного совета при их наличии.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Все заявки победителей Конкурса проходят юридическую экспертизу Фонда с целью проверки правоспособности контрагентов и выявлении рисков при заключении договора. В случае, если заявитель не может предоставить полный пакет документов, необходимый в соответст</w:t>
      </w:r>
      <w:r>
        <w:rPr>
          <w:rFonts w:ascii="Arial" w:hAnsi="Arial" w:eastAsia="Arial" w:cs="Arial"/>
          <w:color w:val="000000"/>
          <w:sz w:val="22"/>
        </w:rPr>
        <w:t xml:space="preserve">вии с настоящим Положением, то договор с ним не заключается.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В течение 2-х недель после объявления результатов Конкурса с выбранными организациями, успешно прошедшими юридическую экспертизу Фонда, будут заключены договоры целевого поступления-пожертвования, на основании которых будут переведены денежные средства. 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Порядок, сроки и формы отчетности (содержательной и финансовой) по итогам реализации проектов будут определены в договорах целевого поступления-пожертвования, заключенных с победителями Конкурса.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ПОРЯДОК ИЗМЕНЕНИЯ УСЛОВИЙ ИЛИ ОТМЕНЫ КОНКУРСА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В случае необходимости внести изменения в Положение о Конкурсе, такие изменения могут быть внесены в первую половину срока приема заявок на Конкурс. 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Отмена Конкурса по причине действия непреодолимой силы и/или прекращения финансирования может произойти на любом этапе проведения Конкурса. Отмена Конкурса по иным причинам может произойти только на этапе приема и регистрации заявок.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Конкурс признается несостоявшимся, если зарегистрировано менее трех заявок, отвечающим всем требованиям Положения о Конкурсе. 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ИСПОЛЬЗОВАНИЕ ИНФОРМАЦИИ 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Фонд оставляет за собой право использовать информацию, полученную в рамках Конкурса, с целью накопления и передачи опыта, в исследовательских и статистических целях, в публикациях.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КОНСУЛЬТАЦИИ МОЖНО ПОЛУЧИТЬ ПО</w:t>
      </w:r>
      <w:r>
        <w:rPr>
          <w:rFonts w:ascii="Arial" w:hAnsi="Arial" w:eastAsia="Arial" w:cs="Arial"/>
          <w:color w:val="000000"/>
          <w:sz w:val="22"/>
        </w:rPr>
        <w:t xml:space="preserve"> эл. почте </w:t>
      </w:r>
      <w:r>
        <w:rPr>
          <w:rFonts w:ascii="Arial" w:hAnsi="Arial" w:eastAsia="Arial" w:cs="Arial"/>
          <w:color w:val="0000ff"/>
          <w:sz w:val="22"/>
          <w:u w:val="single"/>
        </w:rPr>
        <w:t xml:space="preserve">uzory@givingculture.ru</w:t>
      </w:r>
      <w:r>
        <w:rPr>
          <w:rFonts w:ascii="Arial" w:hAnsi="Arial" w:eastAsia="Arial" w:cs="Arial"/>
          <w:color w:val="000000"/>
          <w:sz w:val="22"/>
        </w:rPr>
        <w:t xml:space="preserve">   или по телефону +7(495) 927-10-08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Wingdings">
    <w:panose1 w:val="05010000000000000000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49"/>
      </w:pPr>
      <w:r>
        <w:rPr>
          <w:rStyle w:val="854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[1]</w:t>
      </w:r>
      <w:r>
        <w:rPr>
          <w:rFonts w:ascii="Arial" w:hAnsi="Arial" w:eastAsia="Arial" w:cs="Arial"/>
          <w:color w:val="000000"/>
          <w:sz w:val="20"/>
        </w:rPr>
        <w:t xml:space="preserve">[1] Под политической деятельностью понимается деятельность, описанная в п. 2 ст. 4 Федерального закона от 14.07.2022 г. N 255-ФЗ "О контроле за деятельностью лиц, находящихся под иностранным влиянием”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 w:eastAsia="Wingdings" w:cs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 w:eastAsia="Wingdings" w:cs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 w:eastAsia="Wingdings" w:cs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 w:eastAsia="Wingdings" w:cs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 w:eastAsia="Wingdings" w:cs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 w:eastAsia="Wingdings" w:cs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 w:eastAsia="Wingdings" w:cs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 w:eastAsia="Wingdings" w:cs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 w:eastAsia="Wingdings" w:cs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 w:eastAsia="Wingdings" w:cs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 w:eastAsia="Wingdings" w:cs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 w:eastAsia="Wingdings" w:cs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 w:eastAsia="Wingdings" w:cs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 w:eastAsia="Wingdings" w:cs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 w:eastAsia="Wingdings" w:cs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 w:eastAsia="Wingdings" w:cs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 w:eastAsia="Wingdings" w:cs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 w:eastAsia="Wingdings" w:cs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 w:eastAsia="Wingdings" w:cs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 w:eastAsia="Wingdings" w:cs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 w:eastAsia="Wingdings" w:cs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6"/>
    <w:next w:val="866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91">
    <w:name w:val="Heading 1 Char"/>
    <w:link w:val="690"/>
    <w:uiPriority w:val="9"/>
    <w:rPr>
      <w:rFonts w:ascii="Liberation Sans" w:hAnsi="Liberation Sans" w:eastAsia="Liberation Sans" w:cs="Liberation Sans"/>
    </w:rPr>
  </w:style>
  <w:style w:type="paragraph" w:styleId="692">
    <w:name w:val="Heading 2"/>
    <w:basedOn w:val="690"/>
    <w:next w:val="866"/>
    <w:link w:val="693"/>
    <w:uiPriority w:val="9"/>
    <w:unhideWhenUsed/>
    <w:qFormat/>
    <w:rPr>
      <w:rFonts w:ascii="Liberation Sans" w:hAnsi="Liberation Sans" w:eastAsia="Liberation Sans" w:cs="Liberation Sans"/>
    </w:rPr>
  </w:style>
  <w:style w:type="character" w:styleId="693">
    <w:name w:val="Heading 2 Char"/>
    <w:link w:val="692"/>
    <w:uiPriority w:val="9"/>
    <w:rPr>
      <w:rFonts w:ascii="Liberation Sans" w:hAnsi="Liberation Sans" w:eastAsia="Liberation Sans" w:cs="Liberation Sans"/>
      <w:sz w:val="34"/>
    </w:rPr>
  </w:style>
  <w:style w:type="paragraph" w:styleId="694">
    <w:name w:val="Heading 3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95">
    <w:name w:val="Heading 3 Char"/>
    <w:link w:val="694"/>
    <w:uiPriority w:val="9"/>
    <w:rPr>
      <w:rFonts w:ascii="Liberation Sans" w:hAnsi="Liberation Sans" w:cs="Liberation Sans"/>
    </w:rPr>
  </w:style>
  <w:style w:type="paragraph" w:styleId="696">
    <w:name w:val="Heading 4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Liberation Sans" w:hAnsi="Liberation Sans" w:eastAsia="Liberation Sans" w:cs="Liberation Sans"/>
    </w:rPr>
  </w:style>
  <w:style w:type="paragraph" w:styleId="698">
    <w:name w:val="Heading 5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Liberation Sans" w:hAnsi="Liberation Sans" w:eastAsia="Liberation Sans" w:cs="Liberation Sans"/>
    </w:rPr>
  </w:style>
  <w:style w:type="paragraph" w:styleId="700">
    <w:name w:val="Heading 6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Liberation Sans" w:hAnsi="Liberation Sans" w:eastAsia="Liberation Sans" w:cs="Liberation Sans"/>
    </w:rPr>
  </w:style>
  <w:style w:type="paragraph" w:styleId="702">
    <w:name w:val="Heading 7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Liberation Sans" w:hAnsi="Liberation Sans" w:eastAsia="Liberation Sans" w:cs="Liberation Sans"/>
    </w:rPr>
  </w:style>
  <w:style w:type="paragraph" w:styleId="704">
    <w:name w:val="Heading 8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Liberation Sans" w:hAnsi="Liberation Sans" w:eastAsia="Liberation Sans" w:cs="Liberation Sans"/>
    </w:rPr>
  </w:style>
  <w:style w:type="paragraph" w:styleId="706">
    <w:name w:val="Heading 9"/>
    <w:basedOn w:val="866"/>
    <w:next w:val="866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Liberation Sans" w:hAnsi="Liberation Sans" w:eastAsia="Liberation Sans" w:cs="Liberation Sans"/>
    </w:r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basedOn w:val="8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2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3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4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5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6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7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9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3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paragraph" w:styleId="869">
    <w:name w:val="No Spacing"/>
    <w:basedOn w:val="866"/>
    <w:uiPriority w:val="1"/>
    <w:qFormat/>
    <w:pPr>
      <w:spacing w:after="0" w:line="240" w:lineRule="auto"/>
    </w:pPr>
  </w:style>
  <w:style w:type="paragraph" w:styleId="870">
    <w:name w:val="List Paragraph"/>
    <w:basedOn w:val="866"/>
    <w:uiPriority w:val="34"/>
    <w:qFormat/>
    <w:pPr>
      <w:contextualSpacing/>
      <w:ind w:left="720"/>
    </w:pPr>
  </w:style>
  <w:style w:type="character" w:styleId="87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Marina Mukhina</cp:lastModifiedBy>
  <cp:revision>7</cp:revision>
  <dcterms:modified xsi:type="dcterms:W3CDTF">2024-10-24T08:10:17Z</dcterms:modified>
</cp:coreProperties>
</file>